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0" w:line="240" w:lineRule="auto"/>
        <w:jc w:val="center"/>
      </w:pPr>
      <w:r>
        <w:rPr>
          <w:b/>
          <w:bCs/>
          <w:caps/>
          <w:color w:val="147A62"/>
          <w:sz w:val="20"/>
          <w:szCs w:val="20"/>
        </w:rPr>
        <w:t xml:space="preserve">Prepared for JAMA</w:t>
      </w:r>
    </w:p>
    <w:p>
      <w:pPr>
        <w:spacing w:after="180" w:before="0" w:line="300" w:lineRule="auto"/>
        <w:jc w:val="center"/>
      </w:pPr>
      <w:r>
        <w:rPr>
          <w:b/>
          <w:bCs/>
          <w:color w:val="111827"/>
          <w:sz w:val="32"/>
          <w:szCs w:val="32"/>
        </w:rPr>
        <w:t xml:space="preserve">Structured manuscript preparation improves journal-readiness scores in a simulated randomized study</w:t>
      </w:r>
    </w:p>
    <w:p>
      <w:pPr>
        <w:spacing w:after="120" w:before="0" w:line="280" w:lineRule="auto"/>
        <w:jc w:val="center"/>
      </w:pPr>
      <w:r>
        <w:rPr>
          <w:b/>
          <w:bCs/>
          <w:sz w:val="22"/>
          <w:szCs w:val="22"/>
        </w:rPr>
        <w:t xml:space="preserve">Mira Solano, PhD; Ethan Vale, MSc; Lian Okafor, PhD; Priya N. Carver, MD, MPH; Joel Hart, PhD</w:t>
      </w:r>
    </w:p>
    <w:p>
      <w:pPr>
        <w:spacing w:after="40" w:before="0" w:line="240" w:lineRule="auto"/>
        <w:jc w:val="center"/>
      </w:pPr>
      <w:r>
        <w:rPr>
          <w:color w:val="5F6B76"/>
          <w:sz w:val="19"/>
          <w:szCs w:val="19"/>
        </w:rPr>
        <w:t xml:space="preserve">1 Northbridge Institute for Scholarly Practice, Alder City, USA</w:t>
      </w:r>
    </w:p>
    <w:p>
      <w:pPr>
        <w:spacing w:after="40" w:before="0" w:line="240" w:lineRule="auto"/>
        <w:jc w:val="center"/>
      </w:pPr>
      <w:r>
        <w:rPr>
          <w:color w:val="5F6B76"/>
          <w:sz w:val="19"/>
          <w:szCs w:val="19"/>
        </w:rPr>
        <w:t xml:space="preserve">2 Meridian School of Health Sciences, Bellweather, USA</w:t>
      </w:r>
    </w:p>
    <w:p>
      <w:pPr>
        <w:spacing w:after="40" w:before="0" w:line="240" w:lineRule="auto"/>
        <w:jc w:val="center"/>
      </w:pPr>
      <w:r>
        <w:rPr>
          <w:color w:val="5F6B76"/>
          <w:sz w:val="19"/>
          <w:szCs w:val="19"/>
        </w:rPr>
        <w:t xml:space="preserve">3 Center for Open Research Methods, Port Sterling, USA</w:t>
      </w:r>
    </w:p>
    <w:p>
      <w:pPr>
        <w:spacing w:after="160" w:before="0" w:line="240" w:lineRule="auto"/>
        <w:jc w:val="center"/>
      </w:pPr>
      <w:r>
        <w:rPr>
          <w:color w:val="5F6B76"/>
          <w:sz w:val="18"/>
          <w:szCs w:val="18"/>
        </w:rPr>
        <w:t xml:space="preserve">Corresponding author: Mira Solano, mira.solano@example.invalid</w:t>
      </w:r>
    </w:p>
    <w:p>
      <w:pPr>
        <w:spacing w:after="180" w:before="120" w:line="250" w:lineRule="auto"/>
        <w:jc w:val="center"/>
      </w:pPr>
      <w:r>
        <w:rPr>
          <w:b/>
          <w:bCs/>
          <w:color w:val="9A3412"/>
          <w:sz w:val="18"/>
          <w:szCs w:val="18"/>
        </w:rPr>
        <w:t xml:space="preserve">FICTIONAL DEMONSTRATION — No real participants, institutions, data, registrations, identifiers, or references.</w:t>
      </w:r>
    </w:p>
    <w:p>
      <w:pPr>
        <w:spacing w:after="80" w:line="280" w:lineRule="auto"/>
      </w:pPr>
      <w:r>
        <w:rPr>
          <w:b/>
          <w:bCs/>
          <w:color w:val="111827"/>
        </w:rPr>
        <w:t xml:space="preserve">Target: </w:t>
      </w:r>
      <w:r>
        <w:t xml:space="preserve">JAMA</w:t>
      </w:r>
    </w:p>
    <w:p>
      <w:pPr>
        <w:spacing w:after="80" w:line="280" w:lineRule="auto"/>
      </w:pPr>
      <w:r>
        <w:rPr>
          <w:b/>
          <w:bCs/>
          <w:color w:val="111827"/>
        </w:rPr>
        <w:t xml:space="preserve">Article type: </w:t>
      </w:r>
      <w:r>
        <w:t xml:space="preserve">Original Investigation</w:t>
      </w:r>
    </w:p>
    <w:p>
      <w:pPr>
        <w:spacing w:after="80" w:line="280" w:lineRule="auto"/>
      </w:pPr>
      <w:r>
        <w:rPr>
          <w:b/>
          <w:bCs/>
          <w:color w:val="111827"/>
        </w:rPr>
        <w:t xml:space="preserve">Trial registration: </w:t>
      </w:r>
      <w:r>
        <w:t xml:space="preserve">FCT0000421 (fictional and nonresolving)</w:t>
      </w:r>
    </w:p>
    <w:p>
      <w:pPr>
        <w:spacing w:after="80" w:line="280" w:lineRule="auto"/>
      </w:pPr>
      <w:r>
        <w:rPr>
          <w:b/>
          <w:bCs/>
          <w:color w:val="111827"/>
        </w:rPr>
        <w:t xml:space="preserve">Word count: </w:t>
      </w:r>
      <w:r>
        <w:t xml:space="preserve">2,592 words in main text</w:t>
      </w:r>
    </w:p>
    <w:p>
      <w:pPr>
        <w:spacing w:after="80" w:line="280" w:lineRule="auto"/>
      </w:pPr>
      <w:r>
        <w:rPr>
          <w:b/>
          <w:bCs/>
          <w:color w:val="111827"/>
        </w:rPr>
        <w:t xml:space="preserve">Tables and figures: </w:t>
      </w:r>
      <w:r>
        <w:t xml:space="preserve">3 tables; 3 figures</w:t>
      </w:r>
    </w:p>
    <w:p>
      <w:r>
        <w:br w:type="page"/>
      </w:r>
    </w:p>
    <w:p>
      <w:pPr>
        <w:pStyle w:val="Heading1"/>
        <w:keepNext/>
        <w:spacing w:after="100" w:before="240" w:line="260" w:lineRule="auto"/>
      </w:pPr>
      <w:r>
        <w:t xml:space="preserve">Key Points</w:t>
      </w:r>
    </w:p>
    <w:p>
      <w:pPr>
        <w:spacing w:after="80" w:line="280" w:lineRule="auto"/>
      </w:pPr>
      <w:r>
        <w:rPr>
          <w:b/>
          <w:bCs/>
          <w:color w:val="111827"/>
        </w:rPr>
        <w:t xml:space="preserve">Question: </w:t>
      </w:r>
      <w:r>
        <w:t xml:space="preserve">Does structured manuscript preparation improve journal readiness compared with checklist-only review?</w:t>
      </w:r>
    </w:p>
    <w:p>
      <w:pPr>
        <w:spacing w:after="80" w:line="280" w:lineRule="auto"/>
      </w:pPr>
      <w:r>
        <w:rPr>
          <w:b/>
          <w:bCs/>
          <w:color w:val="111827"/>
        </w:rPr>
        <w:t xml:space="preserve">Findings: </w:t>
      </w:r>
      <w:r>
        <w:t xml:space="preserve">In this entirely fictional randomized study of 240 manuscript teams, 236 completed assessment. Structured preparation increased mean readiness by 13.1 points and simulated technical-screen passage from 57.6% to 85.6%.</w:t>
      </w:r>
    </w:p>
    <w:p>
      <w:pPr>
        <w:spacing w:after="80" w:line="280" w:lineRule="auto"/>
      </w:pPr>
      <w:r>
        <w:rPr>
          <w:b/>
          <w:bCs/>
          <w:color w:val="111827"/>
        </w:rPr>
        <w:t xml:space="preserve">Meaning: </w:t>
      </w:r>
      <w:r>
        <w:t xml:space="preserve">Deterministic preparation with explicit author verification may reduce avoidable submission friction, but these synthetic results do not establish real-world effectiveness or journal acceptance.</w:t>
      </w:r>
    </w:p>
    <w:p>
      <w:pPr>
        <w:pStyle w:val="Heading1"/>
        <w:keepNext/>
        <w:spacing w:after="100" w:before="240" w:line="260" w:lineRule="auto"/>
      </w:pPr>
      <w:r>
        <w:t xml:space="preserve">Abstract</w:t>
      </w:r>
    </w:p>
    <w:p>
      <w:pPr>
        <w:spacing w:after="80" w:line="280" w:lineRule="auto"/>
      </w:pPr>
      <w:r>
        <w:rPr>
          <w:b/>
          <w:bCs/>
          <w:color w:val="111827"/>
        </w:rPr>
        <w:t xml:space="preserve">Importance: </w:t>
      </w:r>
      <w:r>
        <w:t xml:space="preserve">Preventable structural and reporting problems delay journal submissions, but integrated preparation workflows have not been evaluated with a transparent readiness outcome.</w:t>
      </w:r>
    </w:p>
    <w:p>
      <w:pPr>
        <w:spacing w:after="80" w:line="280" w:lineRule="auto"/>
      </w:pPr>
      <w:r>
        <w:rPr>
          <w:b/>
          <w:bCs/>
          <w:color w:val="111827"/>
        </w:rPr>
        <w:t xml:space="preserve">Objective: </w:t>
      </w:r>
      <w:r>
        <w:t xml:space="preserve">To compare structured manuscript preparation with checklist-only review for manuscript readiness.</w:t>
      </w:r>
    </w:p>
    <w:p>
      <w:pPr>
        <w:spacing w:after="80" w:line="280" w:lineRule="auto"/>
      </w:pPr>
      <w:r>
        <w:rPr>
          <w:b/>
          <w:bCs/>
          <w:color w:val="111827"/>
        </w:rPr>
        <w:t xml:space="preserve">Design, Setting, and Participants: </w:t>
      </w:r>
      <w:r>
        <w:t xml:space="preserve">Fictional assessor-blinded randomized study of 240 simulated manuscript teams at 12 invented research centers from September 2025 to February 2026; 236 teams completed assessment.</w:t>
      </w:r>
    </w:p>
    <w:p>
      <w:pPr>
        <w:spacing w:after="80" w:line="280" w:lineRule="auto"/>
      </w:pPr>
      <w:r>
        <w:rPr>
          <w:b/>
          <w:bCs/>
          <w:color w:val="111827"/>
        </w:rPr>
        <w:t xml:space="preserve">Intervention: </w:t>
      </w:r>
      <w:r>
        <w:t xml:space="preserve">Journal-profile review, deterministic document formatting, cross-checks, and an author-verification report versus a conventional journal checklist.</w:t>
      </w:r>
    </w:p>
    <w:p>
      <w:pPr>
        <w:spacing w:after="80" w:line="280" w:lineRule="auto"/>
      </w:pPr>
      <w:r>
        <w:rPr>
          <w:b/>
          <w:bCs/>
          <w:color w:val="111827"/>
        </w:rPr>
        <w:t xml:space="preserve">Main Outcomes and Measures: </w:t>
      </w:r>
      <w:r>
        <w:t xml:space="preserve">The primary outcome was a blinded 40-item readiness score (0-100) at day 7. Secondary outcomes included simulated technical-screen passage, preparation time, and unresolved readiness items.</w:t>
      </w:r>
    </w:p>
    <w:p>
      <w:pPr>
        <w:spacing w:after="80" w:line="280" w:lineRule="auto"/>
      </w:pPr>
      <w:r>
        <w:rPr>
          <w:b/>
          <w:bCs/>
          <w:color w:val="111827"/>
        </w:rPr>
        <w:t xml:space="preserve">Results: </w:t>
      </w:r>
      <w:r>
        <w:t xml:space="preserve">Among 236 analyzed teams, mean readiness was 91.4 (SD, 4.8) with structured preparation and 78.2 (SD, 8.1) with checklist-only review (adjusted difference, 13.1; 95% CI, 11.4-14.8). Technical screening was passed by 101 of 118 teams (85.6%) and 68 of 118 teams (57.6%), respectively (risk ratio, 1.49; 95% CI, 1.25-1.77). Median preparation time was 132 vs 214 minutes.</w:t>
      </w:r>
    </w:p>
    <w:p>
      <w:pPr>
        <w:spacing w:after="80" w:line="280" w:lineRule="auto"/>
      </w:pPr>
      <w:r>
        <w:rPr>
          <w:b/>
          <w:bCs/>
          <w:color w:val="111827"/>
        </w:rPr>
        <w:t xml:space="preserve">Conclusions and Relevance: </w:t>
      </w:r>
      <w:r>
        <w:t xml:space="preserve">Structured preparation improved readiness in this fabricated dataset. Real prospective evaluation would be required before drawing conclusions about authors, submissions, or editorial outcomes.</w:t>
      </w:r>
    </w:p>
    <w:p>
      <w:pPr>
        <w:pStyle w:val="Heading1"/>
        <w:keepNext/>
        <w:spacing w:after="100" w:before="240" w:line="260" w:lineRule="auto"/>
      </w:pPr>
      <w:r>
        <w:t xml:space="preserve">Introduction</w:t>
      </w:r>
    </w:p>
    <w:p>
      <w:pPr>
        <w:spacing w:after="120" w:before="0" w:line="300" w:lineRule="auto"/>
      </w:pPr>
      <w:r>
        <w:t xml:space="preserve">Academic journals reject or return many manuscripts before editorial assessment because required elements are absent, files are internally inconsistent, or declarations do not match the target journal. These technical failures are distinct from scientific merit, yet they consume author and editorial time and may disproportionately burden researchers with limited institutional support </w:t>
      </w:r>
      <w:r>
        <w:rPr>
          <w:vertAlign w:val="superscript"/>
        </w:rPr>
        <w:t xml:space="preserve">1-3</w:t>
      </w:r>
      <w:r>
        <w:t xml:space="preserve">.</w:t>
      </w:r>
    </w:p>
    <w:p>
      <w:pPr>
        <w:spacing w:after="120" w:before="0" w:line="300" w:lineRule="auto"/>
      </w:pPr>
      <w:r>
        <w:t xml:space="preserve">Most teams prepare submissions with author instructions, local templates, and ad hoc checklists. Checklists can improve recall, but they require authors to translate lengthy guidance into document-level actions and to verify that tables, figures, references, declarations, and metadata agree </w:t>
      </w:r>
      <w:r>
        <w:rPr>
          <w:vertAlign w:val="superscript"/>
        </w:rPr>
        <w:t xml:space="preserve">4-8</w:t>
      </w:r>
      <w:r>
        <w:t xml:space="preserve">. Prior simulated work has proposed readiness instruments and automated checks, but evidence about integrated workflows that preserve author control remains limited </w:t>
      </w:r>
      <w:r>
        <w:rPr>
          <w:vertAlign w:val="superscript"/>
        </w:rPr>
        <w:t xml:space="preserve">9-13</w:t>
      </w:r>
      <w:r>
        <w:t xml:space="preserve">.</w:t>
      </w:r>
    </w:p>
    <w:p>
      <w:pPr>
        <w:spacing w:after="120" w:before="0" w:line="300" w:lineRule="auto"/>
      </w:pPr>
      <w:r>
        <w:t xml:space="preserve">Submission preparation is also a coordination problem. Information about funding, ethics, data access, authorship, and corresponding-author details may be stored in different drafts or held by different team members. A visually polished file can therefore remain technically incomplete, while a scientifically complete paper can be returned because its submission components are inconsistent. These failures may be more consequential for teams working across institutions, disciplines, or languages, and for authors without access to specialist editorial staff </w:t>
      </w:r>
      <w:r>
        <w:rPr>
          <w:vertAlign w:val="superscript"/>
        </w:rPr>
        <w:t xml:space="preserve">7,8,11,15</w:t>
      </w:r>
      <w:r>
        <w:t xml:space="preserve">.</w:t>
      </w:r>
    </w:p>
    <w:p>
      <w:pPr>
        <w:spacing w:after="120" w:before="0" w:line="300" w:lineRule="auto"/>
      </w:pPr>
      <w:r>
        <w:t xml:space="preserve">A useful readiness intervention should do more than reproduce a journal template. It should distinguish deterministic document changes from questions requiring author judgment, identify the evidence behind each requirement, and fail visibly when the target profile is incomplete. It should also preserve private manuscript handling and produce an auditable account of what changed. These design requirements follow from concerns that opaque preparation systems can create misplaced confidence even when their surface output appears professional </w:t>
      </w:r>
      <w:r>
        <w:rPr>
          <w:vertAlign w:val="superscript"/>
        </w:rPr>
        <w:t xml:space="preserve">12,13,18</w:t>
      </w:r>
      <w:r>
        <w:t xml:space="preserve">.</w:t>
      </w:r>
    </w:p>
    <w:p>
      <w:pPr>
        <w:spacing w:after="120" w:before="0" w:line="300" w:lineRule="auto"/>
      </w:pPr>
      <w:r>
        <w:t xml:space="preserve">We designed a structured manuscript-readiness workflow that applies deterministic formatting, checks a journal profile, identifies unresolved items, and generates a transparent change summary. The workflow does not assess scientific validity, invent content, or guarantee acceptance. We hypothesized that the workflow would improve blinded readiness scores and simulated technical-screening passage while reducing preparation time compared with a conventional journal checklist.</w:t>
      </w:r>
    </w:p>
    <w:p>
      <w:pPr>
        <w:pStyle w:val="Heading1"/>
        <w:keepNext/>
        <w:spacing w:after="100" w:before="240" w:line="260" w:lineRule="auto"/>
      </w:pPr>
      <w:r>
        <w:t xml:space="preserve">Methods</w:t>
      </w:r>
    </w:p>
    <w:p>
      <w:pPr>
        <w:pStyle w:val="Heading2"/>
        <w:keepNext/>
        <w:spacing w:after="100" w:before="180" w:line="260" w:lineRule="auto"/>
      </w:pPr>
      <w:r>
        <w:t xml:space="preserve">Study design and setting</w:t>
      </w:r>
    </w:p>
    <w:p>
      <w:pPr>
        <w:spacing w:after="120" w:before="0" w:line="300" w:lineRule="auto"/>
      </w:pPr>
      <w:r>
        <w:t xml:space="preserve">MANUSCRIPT-RDY was a fictional, parallel-group, assessor-blinded randomized study conducted at 12 invented research centers between September 8, 2025, and February 20, 2026. The protocol and analysis plan were specified before allocation </w:t>
      </w:r>
      <w:r>
        <w:rPr>
          <w:vertAlign w:val="superscript"/>
        </w:rPr>
        <w:t xml:space="preserve">16</w:t>
      </w:r>
      <w:r>
        <w:t xml:space="preserve">. This document is a marketing demonstration: no people were enrolled, no institutions participated, and every value was created for the sample package.</w:t>
      </w:r>
    </w:p>
    <w:p>
      <w:pPr>
        <w:pStyle w:val="Heading2"/>
        <w:keepNext/>
        <w:spacing w:after="100" w:before="180" w:line="260" w:lineRule="auto"/>
      </w:pPr>
      <w:r>
        <w:t xml:space="preserve">Participants</w:t>
      </w:r>
    </w:p>
    <w:p>
      <w:pPr>
        <w:spacing w:after="120" w:before="0" w:line="300" w:lineRule="auto"/>
      </w:pPr>
      <w:r>
        <w:t xml:space="preserve">Eligible units were simulated manuscript teams preparing a complete English-language research article for one of 30 general or disciplinary journals. Teams were required to have a draft containing title, abstract, main text, at least one table or figure, and a reference list. Simulated teams were excluded if their manuscript was a protocol, review, case report, or revised submission, or if more than 20% of required content was intentionally absent.</w:t>
      </w:r>
    </w:p>
    <w:p>
      <w:pPr>
        <w:spacing w:after="120" w:before="0" w:line="300" w:lineRule="auto"/>
      </w:pPr>
      <w:r>
        <w:t xml:space="preserve">The fictional sample was constructed to represent biomedical, social and behavioral, engineering and data-science, and environmental research. Career stage, prior technical-screening returns, team size, and baseline readiness were balanced at generation.</w:t>
      </w:r>
    </w:p>
    <w:p>
      <w:pPr>
        <w:spacing w:after="120" w:before="0" w:line="300" w:lineRule="auto"/>
      </w:pPr>
      <w:r>
        <w:t xml:space="preserve">Each simulated team included a corresponding author and at least one additional contributor. Drafts were generated from a common specification and varied in section order, heading consistency, declaration completeness, reference formatting, figure callouts, and submission metadata. Scientific claims and numerical results were treated as fixed source content; no arm was allowed to change an outcome, add an interpretation, or replace a reference. This constraint isolated preparation readiness from writing quality.</w:t>
      </w:r>
    </w:p>
    <w:p>
      <w:pPr>
        <w:pStyle w:val="Heading2"/>
        <w:keepNext/>
        <w:spacing w:after="100" w:before="180" w:line="260" w:lineRule="auto"/>
      </w:pPr>
      <w:r>
        <w:t xml:space="preserve">Randomization and masking</w:t>
      </w:r>
    </w:p>
    <w:p>
      <w:pPr>
        <w:spacing w:after="120" w:before="0" w:line="300" w:lineRule="auto"/>
      </w:pPr>
      <w:r>
        <w:t xml:space="preserve">A computer-generated sequence used randomly permuted blocks of four and six, stratified by center and broad discipline. Allocation was represented as concealed until baseline assessment. Readiness assessors were labeled as blinded to assignment; teams and workflow operators could not be masked because the interventions were visibly different.</w:t>
      </w:r>
    </w:p>
    <w:p>
      <w:pPr>
        <w:pStyle w:val="Heading2"/>
        <w:keepNext/>
        <w:spacing w:after="100" w:before="180" w:line="260" w:lineRule="auto"/>
      </w:pPr>
      <w:r>
        <w:t xml:space="preserve">Interventions</w:t>
      </w:r>
    </w:p>
    <w:p>
      <w:pPr>
        <w:spacing w:after="120" w:before="0" w:line="300" w:lineRule="auto"/>
      </w:pPr>
      <w:r>
        <w:t xml:space="preserve">Structured-preparation teams received a journal-profile review, deterministic Word formatting, heading and declaration normalization, table and figure callout checks, reference-pattern checks, and an itemized author-verification report. The workflow preserved wording and numerical content and flagged matters requiring scientific judgment. Checklist-only teams received a two-page journal checklist covering the same domains but no document transformation or automated cross-checks.</w:t>
      </w:r>
    </w:p>
    <w:p>
      <w:pPr>
        <w:spacing w:after="120" w:before="0" w:line="300" w:lineRule="auto"/>
      </w:pPr>
      <w:r>
        <w:t xml:space="preserve">Both groups had seven days to prepare a submission set. Teams could consult the same fictional journal instructions and were told that readiness tools could not replace author review or editorial judgment. No generative writing assistance was provided in either group.</w:t>
      </w:r>
    </w:p>
    <w:p>
      <w:pPr>
        <w:spacing w:after="120" w:before="0" w:line="300" w:lineRule="auto"/>
      </w:pPr>
      <w:r>
        <w:t xml:space="preserve">The structured workflow proceeded through six recorded stages: target-journal confirmation; private-file validation; manuscript-structure mapping; journal-rule application; cross-component checks; and package generation. The resulting package included an editable manuscript, an author checklist, a change summary, and separately handled figure files when required. A rule was applied only when its journal-profile status was represented as verified or collected from a named source. Ambiguous requirements were converted into review items rather than silently resolved.</w:t>
      </w:r>
    </w:p>
    <w:p>
      <w:pPr>
        <w:spacing w:after="120" w:before="0" w:line="300" w:lineRule="auto"/>
      </w:pPr>
      <w:r>
        <w:t xml:space="preserve">The checklist-only document listed the same 40 rubric concepts in neutral language and linked to the same fictional instructions. It did not prioritize critical items, compare repeated metadata, inspect file contents, or record changes. To reduce differential access to information, both groups received identical contact time and could ask procedural questions that did not reveal the readiness rubric scoring key.</w:t>
      </w:r>
    </w:p>
    <w:p>
      <w:pPr>
        <w:pStyle w:val="Heading2"/>
        <w:keepNext/>
        <w:spacing w:after="100" w:before="180" w:line="260" w:lineRule="auto"/>
      </w:pPr>
      <w:r>
        <w:t xml:space="preserve">Outcomes</w:t>
      </w:r>
    </w:p>
    <w:p>
      <w:pPr>
        <w:spacing w:after="120" w:before="0" w:line="300" w:lineRule="auto"/>
      </w:pPr>
      <w:r>
        <w:t xml:space="preserve">The primary outcome was the total readiness score at day 7, measured with a 40-item rubric spanning structure, reporting completeness, references, tables and figures, declarations, and submission metadata. Weighted domain scores were transformed to a 0-to-100 scale; higher values indicated greater readiness. In the fictional validation study, interrater reliability was 0.89 </w:t>
      </w:r>
      <w:r>
        <w:rPr>
          <w:vertAlign w:val="superscript"/>
        </w:rPr>
        <w:t xml:space="preserve">10</w:t>
      </w:r>
      <w:r>
        <w:t xml:space="preserve">.</w:t>
      </w:r>
    </w:p>
    <w:p>
      <w:pPr>
        <w:spacing w:after="120" w:before="0" w:line="300" w:lineRule="auto"/>
      </w:pPr>
      <w:r>
        <w:t xml:space="preserve">Secondary outcomes were passage of a standardized simulated technical screen, operator-recorded preparation time, unresolved rubric items, and privacy near misses. A technical-screen pass required all 12 critical items and at least 34 of 40 total items. Privacy near misses were simulated attempts to include direct identifiers or private access information in nonprivate fields. Prespecified exploratory outcomes were domain scores and effects by discipline, career stage, and baseline readiness.</w:t>
      </w:r>
    </w:p>
    <w:p>
      <w:pPr>
        <w:spacing w:after="120" w:before="0" w:line="300" w:lineRule="auto"/>
      </w:pPr>
      <w:r>
        <w:t xml:space="preserve">Two fictional assessors independently scored each submission set using a locked rubric and a written adjudication guide. They reviewed the manuscript, tables, figure files, declarations, and metadata sheet but did not see preparation logs or group labels. Disagreements on critical items were represented as resolved by a third assessor before the database was locked. Preparation time included active document and checklist work but excluded waiting time and breaks longer than 15 minutes.</w:t>
      </w:r>
    </w:p>
    <w:p>
      <w:pPr>
        <w:pStyle w:val="Heading2"/>
        <w:keepNext/>
        <w:spacing w:after="100" w:before="180" w:line="260" w:lineRule="auto"/>
      </w:pPr>
      <w:r>
        <w:t xml:space="preserve">Sample size</w:t>
      </w:r>
    </w:p>
    <w:p>
      <w:pPr>
        <w:spacing w:after="120" w:before="0" w:line="300" w:lineRule="auto"/>
      </w:pPr>
      <w:r>
        <w:t xml:space="preserve">A target of 240 teams provided 90% simulated power at a two-sided alpha of .05 to detect a 5-point between-group difference, assuming an SD of 11 and 5% attrition. The calculation was deliberately conservative relative to prior fictional readiness studies </w:t>
      </w:r>
      <w:r>
        <w:rPr>
          <w:vertAlign w:val="superscript"/>
        </w:rPr>
        <w:t xml:space="preserve">9,10,14</w:t>
      </w:r>
      <w:r>
        <w:t xml:space="preserve">.</w:t>
      </w:r>
    </w:p>
    <w:p>
      <w:pPr>
        <w:pStyle w:val="Heading2"/>
        <w:keepNext/>
        <w:spacing w:after="100" w:before="180" w:line="260" w:lineRule="auto"/>
      </w:pPr>
      <w:r>
        <w:t xml:space="preserve">Statistical analysis</w:t>
      </w:r>
    </w:p>
    <w:p>
      <w:pPr>
        <w:spacing w:after="120" w:before="0" w:line="300" w:lineRule="auto"/>
      </w:pPr>
      <w:r>
        <w:t xml:space="preserve">The primary analysis followed intention-to-treat principles among teams with an outcome assessment. Readiness score was analyzed with linear regression adjusted for baseline score, center, and discipline. Binary outcomes used log-binomial regression; if convergence failed, Poisson regression with robust standard errors was specified. Preparation time was compared with quantile regression, and unresolved-item counts with negative binomial regression.</w:t>
      </w:r>
    </w:p>
    <w:p>
      <w:pPr>
        <w:spacing w:after="120" w:before="0" w:line="300" w:lineRule="auto"/>
      </w:pPr>
      <w:r>
        <w:t xml:space="preserve">Missing primary outcomes were addressed in sensitivity analyses using multiple imputation and a prespecified conservative shift of five points against the structured-preparation group. Interaction terms tested heterogeneity by discipline, first-author career stage, and baseline readiness. Confidence intervals were two-sided 95% intervals; secondary analyses were interpreted as supportive without multiplicity adjustment. Analyses were represented as performed in fictional R version 4.5.0.</w:t>
      </w:r>
    </w:p>
    <w:p>
      <w:pPr>
        <w:pStyle w:val="Heading2"/>
        <w:keepNext/>
        <w:spacing w:after="100" w:before="180" w:line="260" w:lineRule="auto"/>
      </w:pPr>
      <w:r>
        <w:t xml:space="preserve">Data integrity and fidelity</w:t>
      </w:r>
    </w:p>
    <w:p>
      <w:pPr>
        <w:spacing w:after="120" w:before="0" w:line="300" w:lineRule="auto"/>
      </w:pPr>
      <w:r>
        <w:t xml:space="preserve">The simulated dataset was checked before analysis for duplicate identifiers, impossible dates, out-of-range scores, and disagreement between aggregate tables and figure values. An intervention log recorded completion of each workflow stage, rule provenance, generated artifacts, and unresolved author items. Fidelity was defined as completion of all six structured stages without an unreviewed content change, or documented review of every checklist domain in the control group.</w:t>
      </w:r>
    </w:p>
    <w:p>
      <w:pPr>
        <w:spacing w:after="120" w:before="0" w:line="300" w:lineRule="auto"/>
      </w:pPr>
      <w:r>
        <w:t xml:space="preserve">To preserve the demonstration boundary, the analysis used only aggregate synthetic values embedded in this package. There is no hidden participant-level dataset, and the CSV supplied with the sample is sufficient only to reproduce the displayed group summaries. No data monitoring committee, stopping rule, or interim analysis was represented because the study involved no actual participants or risk-bearing intervention.</w:t>
      </w:r>
    </w:p>
    <w:p>
      <w:pPr>
        <w:pStyle w:val="Heading2"/>
        <w:keepNext/>
        <w:spacing w:after="100" w:before="180" w:line="260" w:lineRule="auto"/>
      </w:pPr>
      <w:r>
        <w:t xml:space="preserve">Ethics and registration</w:t>
      </w:r>
    </w:p>
    <w:p>
      <w:pPr>
        <w:spacing w:after="120" w:before="0" w:line="300" w:lineRule="auto"/>
      </w:pPr>
      <w:r>
        <w:t xml:space="preserve">The invented Northbridge Research Ethics Board was described as approving the protocol (NRB-2025-041), and fictional participants were described as providing electronic consent. The registration FCT0000421, registry, board, approval, and consent are fabricated demonstration elements and must not be cited or treated as real.</w:t>
      </w:r>
    </w:p>
    <w:p>
      <w:pPr>
        <w:pStyle w:val="Heading1"/>
        <w:keepNext/>
        <w:spacing w:after="100" w:before="240" w:line="260" w:lineRule="auto"/>
      </w:pPr>
      <w:r>
        <w:t xml:space="preserve">Results</w:t>
      </w:r>
    </w:p>
    <w:p>
      <w:pPr>
        <w:pStyle w:val="Heading2"/>
        <w:keepNext/>
        <w:spacing w:after="100" w:before="180" w:line="260" w:lineRule="auto"/>
      </w:pPr>
      <w:r>
        <w:t xml:space="preserve">Participant flow and baseline characteristics</w:t>
      </w:r>
    </w:p>
    <w:p>
      <w:pPr>
        <w:spacing w:after="120" w:before="0" w:line="300" w:lineRule="auto"/>
      </w:pPr>
      <w:r>
        <w:t xml:space="preserve">Of 287 fictional teams assessed, 240 met eligibility criteria and were allocated equally. Two teams in each group lacked a day-7 assessment, leaving 118 per group in the primary analysis (Figure 1). Baseline characteristics were balanced (Table 1). Mean baseline readiness was 61.8 (SD, 9.4) in the structured-preparation group and 62.1 (SD, 9.1) in the checklist-only group.</w:t>
      </w:r>
    </w:p>
    <w:p>
      <w:pPr>
        <w:spacing w:after="120" w:before="0" w:line="300" w:lineRule="auto"/>
      </w:pPr>
      <w:r>
        <w:t xml:space="preserve">The 47 represented exclusions comprised 19 incomplete drafts, 11 revised submissions, 8 protocols or reviews, 5 submissions without a table or figure, and 4 duplicate screening records. Among analyzed teams, 73 of 236 (30.9%) had a prior technical-screening return and 86 (36.4%) had a student first author. Target journals included general multidisciplinary titles (42.8%), health and life-science titles (27.5%), social-science titles (16.9%), and engineering or environmental titles (12.7%).</w:t>
      </w:r>
    </w:p>
    <w:p>
      <w:pPr>
        <w:pStyle w:val="Heading2"/>
        <w:keepNext/>
        <w:spacing w:after="100" w:before="180" w:line="260" w:lineRule="auto"/>
      </w:pPr>
      <w:r>
        <w:t xml:space="preserve">Primary and secondary outcomes</w:t>
      </w:r>
    </w:p>
    <w:p>
      <w:pPr>
        <w:spacing w:after="120" w:before="0" w:line="300" w:lineRule="auto"/>
      </w:pPr>
      <w:r>
        <w:t xml:space="preserve">At day 7, mean readiness was 91.4 (SD, 4.8) after structured preparation and 78.2 (SD, 8.1) after checklist-only review. The adjusted mean difference was 13.1 points (95% CI, 11.4-14.8; standardized mean difference, 1.98) (Table 2). Score distributions showed no ceiling accumulation sufficient to explain the effect.</w:t>
      </w:r>
    </w:p>
    <w:p>
      <w:pPr>
        <w:spacing w:after="120" w:before="0" w:line="300" w:lineRule="auto"/>
      </w:pPr>
      <w:r>
        <w:t xml:space="preserve">A simulated technical-screen pass occurred for 101 of 118 structured-preparation teams (85.6%) and 68 of 118 checklist-only teams (57.6%), corresponding to a risk ratio of 1.49 (95% CI, 1.25-1.77) and an absolute difference of 28.0 percentage points (Figure 3). Median preparation time was 132 minutes (IQR, 98-171) versus 214 minutes (IQR, 165-286), an adjusted median difference of -79 minutes (95% CI, -96 to -61).</w:t>
      </w:r>
    </w:p>
    <w:p>
      <w:pPr>
        <w:spacing w:after="120" w:before="0" w:line="300" w:lineRule="auto"/>
      </w:pPr>
      <w:r>
        <w:t xml:space="preserve">The median number of unresolved items was 2 (IQR, 1-3) with structured preparation and 7 (IQR, 4-10) with checklist-only review. One privacy near miss was represented in the structured group and four in the checklist group; this sparse exploratory outcome was imprecise.</w:t>
      </w:r>
    </w:p>
    <w:p>
      <w:pPr>
        <w:spacing w:after="120" w:before="0" w:line="300" w:lineRule="auto"/>
      </w:pPr>
      <w:r>
        <w:t xml:space="preserve">The most common critical failures in the checklist group were incomplete declarations (21 teams), disagreement between manuscript and metadata titles or author details (17 teams), missing figure-source or legend information (14 teams), and inconsistent data-availability wording (12 teams). Corresponding counts in the structured group were 7, 3, 5, and 4. A team could have more than one failure, so category counts exceed the number that failed screening.</w:t>
      </w:r>
    </w:p>
    <w:p>
      <w:pPr>
        <w:pStyle w:val="Heading2"/>
        <w:keepNext/>
        <w:spacing w:after="100" w:before="180" w:line="260" w:lineRule="auto"/>
      </w:pPr>
      <w:r>
        <w:t xml:space="preserve">Readiness domains and sensitivity analyses</w:t>
      </w:r>
    </w:p>
    <w:p>
      <w:pPr>
        <w:spacing w:after="120" w:before="0" w:line="300" w:lineRule="auto"/>
      </w:pPr>
      <w:r>
        <w:t xml:space="preserve">Structured preparation improved all five prespecified domains (Table 3 and Figure 2). Adjusted differences ranged from 11.6 points for references and citations to 14.2 points for reporting completeness. There was no evidence of interaction by discipline (P = .42), career stage (P = .61), or baseline readiness tertile (P = .37).</w:t>
      </w:r>
    </w:p>
    <w:p>
      <w:pPr>
        <w:spacing w:after="120" w:before="0" w:line="300" w:lineRule="auto"/>
      </w:pPr>
      <w:r>
        <w:t xml:space="preserve">Multiple imputation produced an adjusted primary difference of 13.0 points (95% CI, 11.3-14.7). Under the conservative missing-outcome shift, the difference was 12.8 points (95% CI, 11.0-14.5). Per-protocol and center-clustered analyses were directionally consistent. No post hoc exclusions were made.</w:t>
      </w:r>
    </w:p>
    <w:p>
      <w:pPr>
        <w:pStyle w:val="Heading2"/>
        <w:keepNext/>
        <w:spacing w:after="100" w:before="180" w:line="260" w:lineRule="auto"/>
      </w:pPr>
      <w:r>
        <w:t xml:space="preserve">Intervention fidelity</w:t>
      </w:r>
    </w:p>
    <w:p>
      <w:pPr>
        <w:spacing w:after="120" w:before="0" w:line="300" w:lineRule="auto"/>
      </w:pPr>
      <w:r>
        <w:t xml:space="preserve">All six structured workflow stages were represented as completed for 114 of 118 analyzed teams (96.6%); four teams required a second target-profile confirmation before packaging. No unreviewed change to scientific wording or numerical content was detected. In the checklist group, 103 of 118 teams (87.3%) documented review of all domains, although documentation did not establish that every item was corrected.</w:t>
      </w:r>
    </w:p>
    <w:p>
      <w:pPr>
        <w:spacing w:after="120" w:before="0" w:line="300" w:lineRule="auto"/>
      </w:pPr>
      <w:r>
        <w:t xml:space="preserve">Structured packages contained a median of 9 deterministic formatting changes (IQR, 7-12) and 4 author-review flags (IQR, 3-6). The most frequent flags concerned data availability, author contributions, ethics wording, and figure permissions. Seventy-nine percent of flags were represented as resolved before assessment; unresolved flags remained visible in the author report and contributed to the final readiness score when they mapped to rubric items.</w:t>
      </w:r>
    </w:p>
    <w:p>
      <w:pPr>
        <w:pStyle w:val="Heading1"/>
        <w:keepNext/>
        <w:spacing w:after="100" w:before="240" w:line="260" w:lineRule="auto"/>
      </w:pPr>
      <w:r>
        <w:t xml:space="preserve">Discussion</w:t>
      </w:r>
    </w:p>
    <w:p>
      <w:pPr>
        <w:spacing w:after="120" w:before="0" w:line="300" w:lineRule="auto"/>
      </w:pPr>
      <w:r>
        <w:t xml:space="preserve">In this wholly fictional randomized study, structured manuscript preparation improved overall readiness, increased simulated technical-screening passage, and reduced preparation time compared with a conventional checklist. Improvements were present across structure, reporting, references, visual elements, and declarations, suggesting that the represented effect was not driven by a single easily corrected requirement.</w:t>
      </w:r>
    </w:p>
    <w:p>
      <w:pPr>
        <w:spacing w:after="120" w:before="0" w:line="300" w:lineRule="auto"/>
      </w:pPr>
      <w:r>
        <w:t xml:space="preserve">The findings are consistent with the proposed distinction between remembering requirements and reliably applying them. A checklist tells authors what to inspect; an integrated workflow can also normalize the document, reconcile repeated elements, and show exactly what still requires judgment </w:t>
      </w:r>
      <w:r>
        <w:rPr>
          <w:vertAlign w:val="superscript"/>
        </w:rPr>
        <w:t xml:space="preserve">4,6,12,13</w:t>
      </w:r>
      <w:r>
        <w:t xml:space="preserve">. The transparent verification report may be especially important because preparation software should not silently alter scientific meaning or imply that a manuscript is publishable </w:t>
      </w:r>
      <w:r>
        <w:rPr>
          <w:vertAlign w:val="superscript"/>
        </w:rPr>
        <w:t xml:space="preserve">12,18</w:t>
      </w:r>
      <w:r>
        <w:t xml:space="preserve">.</w:t>
      </w:r>
    </w:p>
    <w:p>
      <w:pPr>
        <w:spacing w:after="120" w:before="0" w:line="300" w:lineRule="auto"/>
      </w:pPr>
      <w:r>
        <w:t xml:space="preserve">The magnitude of the fictional effect was larger than estimates in earlier simulated pre-submission interventions </w:t>
      </w:r>
      <w:r>
        <w:rPr>
          <w:vertAlign w:val="superscript"/>
        </w:rPr>
        <w:t xml:space="preserve">9,14</w:t>
      </w:r>
      <w:r>
        <w:t xml:space="preserve">. Several design features could explain that difference: a complete workflow rather than a single checklist, outcome assessment across multiple readiness domains, and explicit preservation of author content. The study does not establish that better readiness causes acceptance, favorable peer review, or valid science. Technical conformity and research quality are separate.</w:t>
      </w:r>
    </w:p>
    <w:p>
      <w:pPr>
        <w:spacing w:after="120" w:before="0" w:line="300" w:lineRule="auto"/>
      </w:pPr>
      <w:r>
        <w:t xml:space="preserve">The represented time reduction may matter operationally. Manual reconciliation of instructions, styles, references, and declarations is repetitive, and the cost is concentrated near submission deadlines </w:t>
      </w:r>
      <w:r>
        <w:rPr>
          <w:vertAlign w:val="superscript"/>
        </w:rPr>
        <w:t xml:space="preserve">11</w:t>
      </w:r>
      <w:r>
        <w:t xml:space="preserve">. However, automation can shift burdens or embed inequities when journal profiles are incomplete, access is uneven, or output appears more authoritative than its evidence warrants </w:t>
      </w:r>
      <w:r>
        <w:rPr>
          <w:vertAlign w:val="superscript"/>
        </w:rPr>
        <w:t xml:space="preserve">15,17</w:t>
      </w:r>
      <w:r>
        <w:t xml:space="preserve">. Fail-closed behavior, source dates, privacy controls, and visible author-review items are therefore part of the intervention rather than ancillary features.</w:t>
      </w:r>
    </w:p>
    <w:p>
      <w:pPr>
        <w:spacing w:after="120" w:before="0" w:line="300" w:lineRule="auto"/>
      </w:pPr>
      <w:r>
        <w:t xml:space="preserve">Several findings help explain the overall effect. The largest domain difference involved reporting completeness, while reference formatting showed the smallest but still substantial difference. Critical screening failures in the checklist group clustered around declarations and repeated metadata rather than typography alone. This pattern supports a workflow model in which formatting, structural checks, and author-facing questions operate together. It also argues against describing readiness as a cosmetic endpoint.</w:t>
      </w:r>
    </w:p>
    <w:p>
      <w:pPr>
        <w:spacing w:after="120" w:before="0" w:line="300" w:lineRule="auto"/>
      </w:pPr>
      <w:r>
        <w:t xml:space="preserve">Implementation would require careful governance. Journal profiles need dated sources, scope labels, and a process for correction when publisher instructions change. Private files should remain inaccessible to public links, outputs should be deletable by the author, and logs should avoid exposing manuscript content or access credentials. Operational monitoring should distinguish a failed preparation from a scientifically incomplete submission, because the appropriate response is different. The former may warrant a retry or refund; the latter requires author judgment.</w:t>
      </w:r>
    </w:p>
    <w:p>
      <w:pPr>
        <w:spacing w:after="120" w:before="0" w:line="300" w:lineRule="auto"/>
      </w:pPr>
      <w:r>
        <w:t xml:space="preserve">The represented lack of subgroup interaction should not be interpreted as evidence of equal benefit. The synthetic study was not powered for narrow disciplines, non-English first languages, accessibility needs, or institutions with limited connectivity. Real evaluation should measure whether time savings persist after author review and whether automated checks introduce new correction burdens. Equity outcomes should include access, comprehension of flagged items, and the rate at which incomplete profiles fail closed rather than producing confident but unsupported output </w:t>
      </w:r>
      <w:r>
        <w:rPr>
          <w:vertAlign w:val="superscript"/>
        </w:rPr>
        <w:t xml:space="preserve">15,17</w:t>
      </w:r>
      <w:r>
        <w:t xml:space="preserve">.</w:t>
      </w:r>
    </w:p>
    <w:p>
      <w:pPr>
        <w:spacing w:after="120" w:before="0" w:line="300" w:lineRule="auto"/>
      </w:pPr>
      <w:r>
        <w:t xml:space="preserve">This demonstration has important limitations. All teams, outcomes, centers, and analyses are synthetic; effect sizes were chosen to be internally coherent and visually useful. The technical screen was simulated, assessors were only nominally blinded, and there were no real editorial decisions. The rubric privileges requirements that can be represented consistently and may underweight discipline-specific conventions. A real evaluation would require prospective registration, independent governance, validated outcome adjudication, and follow-up through actual editorial screening.</w:t>
      </w:r>
    </w:p>
    <w:p>
      <w:pPr>
        <w:spacing w:after="120" w:before="0" w:line="300" w:lineRule="auto"/>
      </w:pPr>
      <w:r>
        <w:t xml:space="preserve">Future research should compare deterministic preparation with human editorial support, measure correction burden after submission, and examine whether benefits differ by language background, institutional resources, manuscript type, and journal complexity. Studies should also test safeguards that preserve source meaning and keep authors responsible for every claim.</w:t>
      </w:r>
    </w:p>
    <w:p>
      <w:pPr>
        <w:pStyle w:val="Heading1"/>
        <w:keepNext/>
        <w:spacing w:after="100" w:before="240" w:line="260" w:lineRule="auto"/>
      </w:pPr>
      <w:r>
        <w:t xml:space="preserve">Conclusions</w:t>
      </w:r>
    </w:p>
    <w:p>
      <w:pPr>
        <w:spacing w:after="120" w:before="0" w:line="300" w:lineRule="auto"/>
      </w:pPr>
      <w:r>
        <w:t xml:space="preserve">Structured manuscript preparation was associated with higher readiness and fewer simulated technical-screening failures in this fabricated randomized dataset. The demonstration shows how one complete paper can be reorganized for different journals while preserving its scientific content. It does not provide evidence about real authors, real submissions, acceptance, or the effectiveness of Articlo.</w:t>
      </w:r>
    </w:p>
    <w:p>
      <w:pPr>
        <w:pStyle w:val="Heading1"/>
        <w:keepNext/>
        <w:spacing w:after="100" w:before="240" w:line="260" w:lineRule="auto"/>
      </w:pPr>
      <w:r>
        <w:t xml:space="preserve">Declarations</w:t>
      </w:r>
    </w:p>
    <w:p>
      <w:pPr>
        <w:pStyle w:val="Heading2"/>
        <w:keepNext/>
        <w:spacing w:after="100" w:before="180" w:line="260" w:lineRule="auto"/>
      </w:pPr>
      <w:r>
        <w:t xml:space="preserve">Ethics approval and consent</w:t>
      </w:r>
    </w:p>
    <w:p>
      <w:pPr>
        <w:spacing w:after="120" w:before="0" w:line="300" w:lineRule="auto"/>
      </w:pPr>
      <w:r>
        <w:t xml:space="preserve">Fictional approval NRB-2025-041 and fictional electronic consent are demonstration elements only; no people or real records were involved.</w:t>
      </w:r>
    </w:p>
    <w:p>
      <w:pPr>
        <w:pStyle w:val="Heading2"/>
        <w:keepNext/>
        <w:spacing w:after="100" w:before="180" w:line="260" w:lineRule="auto"/>
      </w:pPr>
      <w:r>
        <w:t xml:space="preserve">Data availability</w:t>
      </w:r>
    </w:p>
    <w:p>
      <w:pPr>
        <w:spacing w:after="120" w:before="0" w:line="300" w:lineRule="auto"/>
      </w:pPr>
      <w:r>
        <w:t xml:space="preserve">The aggregate synthetic values used in the tables and figures are included in this sample package. No participant-level dataset exists.</w:t>
      </w:r>
    </w:p>
    <w:p>
      <w:pPr>
        <w:pStyle w:val="Heading2"/>
        <w:keepNext/>
        <w:spacing w:after="100" w:before="180" w:line="260" w:lineRule="auto"/>
      </w:pPr>
      <w:r>
        <w:t xml:space="preserve">Funding</w:t>
      </w:r>
    </w:p>
    <w:p>
      <w:pPr>
        <w:spacing w:after="120" w:before="0" w:line="300" w:lineRule="auto"/>
      </w:pPr>
      <w:r>
        <w:t xml:space="preserve">No funding was received; this statement is fictional demonstration content.</w:t>
      </w:r>
    </w:p>
    <w:p>
      <w:pPr>
        <w:pStyle w:val="Heading2"/>
        <w:keepNext/>
        <w:spacing w:after="100" w:before="180" w:line="260" w:lineRule="auto"/>
      </w:pPr>
      <w:r>
        <w:t xml:space="preserve">Competing interests</w:t>
      </w:r>
    </w:p>
    <w:p>
      <w:pPr>
        <w:spacing w:after="120" w:before="0" w:line="300" w:lineRule="auto"/>
      </w:pPr>
      <w:r>
        <w:t xml:space="preserve">The fictional authors declare no competing interests. The names and declaration are fabricated.</w:t>
      </w:r>
    </w:p>
    <w:p>
      <w:pPr>
        <w:pStyle w:val="Heading2"/>
        <w:keepNext/>
        <w:spacing w:after="100" w:before="180" w:line="260" w:lineRule="auto"/>
      </w:pPr>
      <w:r>
        <w:t xml:space="preserve">Author contributions</w:t>
      </w:r>
    </w:p>
    <w:p>
      <w:pPr>
        <w:spacing w:after="120" w:before="0" w:line="300" w:lineRule="auto"/>
      </w:pPr>
      <w:r>
        <w:t xml:space="preserve">M.S. conceived the fictional study and drafted the sample; E.V. designed the synthetic data; L.O. designed the represented analysis; P.N.C. developed the readiness rubric; J.H. designed the fictional oversight framework. All author identities are fabricated.</w:t>
      </w:r>
    </w:p>
    <w:p>
      <w:pPr>
        <w:pStyle w:val="Heading2"/>
        <w:keepNext/>
        <w:spacing w:after="100" w:before="180" w:line="260" w:lineRule="auto"/>
      </w:pPr>
      <w:r>
        <w:t xml:space="preserve">Acknowledgments</w:t>
      </w:r>
    </w:p>
    <w:p>
      <w:pPr>
        <w:spacing w:after="120" w:before="0" w:line="300" w:lineRule="auto"/>
      </w:pPr>
      <w:r>
        <w:t xml:space="preserve">None. No real editors, reviewers, participants, institutions, or software outputs contributed scientific evidence.</w:t>
      </w:r>
    </w:p>
    <w:p>
      <w:pPr>
        <w:pStyle w:val="Heading1"/>
        <w:keepNext/>
        <w:spacing w:after="100" w:before="240" w:line="260" w:lineRule="auto"/>
      </w:pPr>
      <w:r>
        <w:t xml:space="preserve">References</w:t>
      </w:r>
    </w:p>
    <w:p>
      <w:pPr>
        <w:spacing w:after="120" w:before="0" w:line="300" w:lineRule="auto"/>
      </w:pPr>
      <w:r>
        <w:rPr>
          <w:i/>
          <w:iCs/>
          <w:color w:val="9A3412"/>
        </w:rPr>
        <w:t xml:space="preserve">Every reference below is fabricated for this demonstration. DOI prefix 10.99999 is used as a visibly nonauthoritative placeholder.</w:t>
      </w:r>
    </w:p>
    <w:p>
      <w:pPr>
        <w:spacing w:after="70" w:before="0" w:line="250" w:lineRule="auto"/>
        <w:ind w:hanging="360"/>
      </w:pPr>
      <w:r>
        <w:rPr>
          <w:sz w:val="18"/>
          <w:szCs w:val="18"/>
        </w:rPr>
        <w:t xml:space="preserve">1. Quill AR, Mendez I, Tobin S. Technical screening as a preventable source of manuscript delay. Journal of Hypothetical Scholarly Practice. 2022;14:101-112. doi:10.99999/jhsp.2022.01401.</w:t>
      </w:r>
    </w:p>
    <w:p>
      <w:pPr>
        <w:spacing w:after="70" w:before="0" w:line="250" w:lineRule="auto"/>
        <w:ind w:hanging="360"/>
      </w:pPr>
      <w:r>
        <w:rPr>
          <w:sz w:val="18"/>
          <w:szCs w:val="18"/>
        </w:rPr>
        <w:t xml:space="preserve">2. Rahman N, Voss K. Reporting completeness and editorial workflow efficiency. Fictional Review of Research Communication. 2023;8:44-58. doi:10.99999/frrc.2023.00804.</w:t>
      </w:r>
    </w:p>
    <w:p>
      <w:pPr>
        <w:spacing w:after="70" w:before="0" w:line="250" w:lineRule="auto"/>
        <w:ind w:hanging="360"/>
      </w:pPr>
      <w:r>
        <w:rPr>
          <w:sz w:val="18"/>
          <w:szCs w:val="18"/>
        </w:rPr>
        <w:t xml:space="preserve">3. Ibarra L, Chen P, Moss D. A taxonomy of pre-submission manuscript defects. Annals of Imaginary Editorial Science. 2021;6:201-219. doi:10.99999/aies.2021.00612.</w:t>
      </w:r>
    </w:p>
    <w:p>
      <w:pPr>
        <w:spacing w:after="70" w:before="0" w:line="250" w:lineRule="auto"/>
        <w:ind w:hanging="360"/>
      </w:pPr>
      <w:r>
        <w:rPr>
          <w:sz w:val="18"/>
          <w:szCs w:val="18"/>
        </w:rPr>
        <w:t xml:space="preserve">4. Patel J, North E, Willem A. Checklist use among early-career research teams. Invented Journal of Academic Workflows. 2024;11:73-88. doi:10.99999/ijaw.2024.01107.</w:t>
      </w:r>
    </w:p>
    <w:p>
      <w:pPr>
        <w:spacing w:after="70" w:before="0" w:line="250" w:lineRule="auto"/>
        <w:ind w:hanging="360"/>
      </w:pPr>
      <w:r>
        <w:rPr>
          <w:sz w:val="18"/>
          <w:szCs w:val="18"/>
        </w:rPr>
        <w:t xml:space="preserve">5. Bello T, Singh R. The relationship between document structure and reviewer navigation. Mock Quarterly of Peer Review. 2020;3:15-27. doi:10.99999/mqpr.2020.00302.</w:t>
      </w:r>
    </w:p>
    <w:p>
      <w:pPr>
        <w:spacing w:after="70" w:before="0" w:line="250" w:lineRule="auto"/>
        <w:ind w:hanging="360"/>
      </w:pPr>
      <w:r>
        <w:rPr>
          <w:sz w:val="18"/>
          <w:szCs w:val="18"/>
        </w:rPr>
        <w:t xml:space="preserve">6. Kovacs M, Greer Y, Adeyemi F. Automated checks and author control in publication preparation. Synthetic Studies in Scholarly Systems. 2024;9:301-318. doi:10.99999/ssss.2024.00918.</w:t>
      </w:r>
    </w:p>
    <w:p>
      <w:pPr>
        <w:spacing w:after="70" w:before="0" w:line="250" w:lineRule="auto"/>
        <w:ind w:hanging="360"/>
      </w:pPr>
      <w:r>
        <w:rPr>
          <w:sz w:val="18"/>
          <w:szCs w:val="18"/>
        </w:rPr>
        <w:t xml:space="preserve">7. Foster C, Liang H. Reference-list consistency in multidisciplinary submissions. Journal of Constructed Citation Research. 2022;5:91-105. doi:10.99999/jccr.2022.00509.</w:t>
      </w:r>
    </w:p>
    <w:p>
      <w:pPr>
        <w:spacing w:after="70" w:before="0" w:line="250" w:lineRule="auto"/>
        <w:ind w:hanging="360"/>
      </w:pPr>
      <w:r>
        <w:rPr>
          <w:sz w:val="18"/>
          <w:szCs w:val="18"/>
        </w:rPr>
        <w:t xml:space="preserve">8. Okeke D, Winter B, Ramos J. Missing declarations in biomedical manuscript submissions. Fictitious Open Research. 2023;12:e00418. doi:10.99999/for.2023.00418.</w:t>
      </w:r>
    </w:p>
    <w:p>
      <w:pPr>
        <w:spacing w:after="70" w:before="0" w:line="250" w:lineRule="auto"/>
        <w:ind w:hanging="360"/>
      </w:pPr>
      <w:r>
        <w:rPr>
          <w:sz w:val="18"/>
          <w:szCs w:val="18"/>
        </w:rPr>
        <w:t xml:space="preserve">9. Sato K, El-Amin R. Blinded assessment of manuscript readiness instruments. Imagined Methods Reports. 2021;7:155-171. doi:10.99999/imr.2021.00715.</w:t>
      </w:r>
    </w:p>
    <w:p>
      <w:pPr>
        <w:spacing w:after="70" w:before="0" w:line="250" w:lineRule="auto"/>
        <w:ind w:hanging="360"/>
      </w:pPr>
      <w:r>
        <w:rPr>
          <w:sz w:val="18"/>
          <w:szCs w:val="18"/>
        </w:rPr>
        <w:t xml:space="preserve">10. Nolan E, Chandra S, Park V. Reliability of a forty-item submission-readiness rubric. Journal of Simulated Measurement. 2025;2:1-16. doi:10.99999/jsm.2025.00201.</w:t>
      </w:r>
    </w:p>
    <w:p>
      <w:pPr>
        <w:spacing w:after="70" w:before="0" w:line="250" w:lineRule="auto"/>
        <w:ind w:hanging="360"/>
      </w:pPr>
      <w:r>
        <w:rPr>
          <w:sz w:val="18"/>
          <w:szCs w:val="18"/>
        </w:rPr>
        <w:t xml:space="preserve">11. Dawes P, Mbatha N. Time costs of manual journal-format reconciliation. Hypothetical Research Management. 2020;4:122-137. doi:10.99999/hrm.2020.00411.</w:t>
      </w:r>
    </w:p>
    <w:p>
      <w:pPr>
        <w:spacing w:after="70" w:before="0" w:line="250" w:lineRule="auto"/>
        <w:ind w:hanging="360"/>
      </w:pPr>
      <w:r>
        <w:rPr>
          <w:sz w:val="18"/>
          <w:szCs w:val="18"/>
        </w:rPr>
        <w:t xml:space="preserve">12. Vale E, Solano M. Preserving author meaning during deterministic document preparation. Proceedings of the Fictional Society for Research Integrity. 2024;19:55-64. doi:10.99999/pfsri.2024.01906.</w:t>
      </w:r>
    </w:p>
    <w:p>
      <w:pPr>
        <w:spacing w:after="70" w:before="0" w:line="250" w:lineRule="auto"/>
        <w:ind w:hanging="360"/>
      </w:pPr>
      <w:r>
        <w:rPr>
          <w:sz w:val="18"/>
          <w:szCs w:val="18"/>
        </w:rPr>
        <w:t xml:space="preserve">13. Kimura A, Jones P, Farouk Z. Transparent change summaries and author verification. Constructed Journal of Open Methods. 2023;10:220-236. doi:10.99999/cjom.2023.01020.</w:t>
      </w:r>
    </w:p>
    <w:p>
      <w:pPr>
        <w:spacing w:after="70" w:before="0" w:line="250" w:lineRule="auto"/>
        <w:ind w:hanging="360"/>
      </w:pPr>
      <w:r>
        <w:rPr>
          <w:sz w:val="18"/>
          <w:szCs w:val="18"/>
        </w:rPr>
        <w:t xml:space="preserve">14. Ortega B, Lutz R. Pre-submission interventions: a simulated meta-analysis. Archive of Fabricated Evidence Synthesis. 2025;1:33-49. doi:10.99999/afes.2025.00103.</w:t>
      </w:r>
    </w:p>
    <w:p>
      <w:pPr>
        <w:spacing w:after="70" w:before="0" w:line="250" w:lineRule="auto"/>
        <w:ind w:hanging="360"/>
      </w:pPr>
      <w:r>
        <w:rPr>
          <w:sz w:val="18"/>
          <w:szCs w:val="18"/>
        </w:rPr>
        <w:t xml:space="preserve">15. Mensah S, Doyle H. Equity considerations in manuscript support tools. Fictional Perspectives on Science Access. 2022;6:140-154. doi:10.99999/fpsa.2022.00614.</w:t>
      </w:r>
    </w:p>
    <w:p>
      <w:pPr>
        <w:spacing w:after="70" w:before="0" w:line="250" w:lineRule="auto"/>
        <w:ind w:hanging="360"/>
      </w:pPr>
      <w:r>
        <w:rPr>
          <w:sz w:val="18"/>
          <w:szCs w:val="18"/>
        </w:rPr>
        <w:t xml:space="preserve">16. Carver PN, Hart J. Protocol for the MANUSCRIPT-RDY simulated trial. Northbridge Protocol Exchange. 2025;3:e00042. doi:10.99999/npe.2025.00042.</w:t>
      </w:r>
    </w:p>
    <w:p>
      <w:pPr>
        <w:spacing w:after="70" w:before="0" w:line="250" w:lineRule="auto"/>
        <w:ind w:hanging="360"/>
      </w:pPr>
      <w:r>
        <w:rPr>
          <w:sz w:val="18"/>
          <w:szCs w:val="18"/>
        </w:rPr>
        <w:t xml:space="preserve">17. Yu G, Bell M, Nwosu C. Generalizability of editorial simulations across disciplines. Journal of Invented Multidisciplinary Research. 2024;15:411-428. doi:10.99999/jimr.2024.01541.</w:t>
      </w:r>
    </w:p>
    <w:p>
      <w:pPr>
        <w:spacing w:after="70" w:before="0" w:line="250" w:lineRule="auto"/>
        <w:ind w:hanging="360"/>
      </w:pPr>
      <w:r>
        <w:rPr>
          <w:sz w:val="18"/>
          <w:szCs w:val="18"/>
        </w:rPr>
        <w:t xml:space="preserve">18. Hart J, Solano M, Vale E. Author-centered safeguards for document preparation systems. Synthetic Research Integrity. 2025;5:77-93. doi:10.99999/sri.2025.00507.</w:t>
      </w:r>
    </w:p>
    <w:p>
      <w:r>
        <w:br w:type="page"/>
      </w:r>
    </w:p>
    <w:p>
      <w:pPr>
        <w:pStyle w:val="Heading1"/>
        <w:keepNext/>
        <w:spacing w:after="100" w:before="240" w:line="260" w:lineRule="auto"/>
      </w:pPr>
      <w:r>
        <w:t xml:space="preserve">Tables</w:t>
      </w:r>
    </w:p>
    <w:p>
      <w:pPr>
        <w:keepNext/>
        <w:spacing w:after="70" w:before="180" w:line="250" w:lineRule="auto"/>
      </w:pPr>
      <w:r>
        <w:rPr>
          <w:b/>
          <w:bCs/>
          <w:sz w:val="19"/>
          <w:szCs w:val="19"/>
        </w:rPr>
        <w:t xml:space="preserve">Table 1. Baseline characteristics of analyzed fictional manuscript teams</w:t>
      </w:r>
    </w:p>
    <w:tbl>
      <w:tblPr>
        <w:tblW w:type="dxa" w:w="9360"/>
        <w:tblInd w:type="dxa" w:w="120"/>
        <w:tblBorders>
          <w:top w:val="single" w:color="B7C0C8" w:sz="4"/>
          <w:left w:val="single" w:color="B7C0C8" w:sz="4"/>
          <w:bottom w:val="single" w:color="B7C0C8" w:sz="4"/>
          <w:right w:val="single" w:color="B7C0C8" w:sz="4"/>
          <w:insideH w:val="single" w:color="B7C0C8" w:sz="4"/>
          <w:insideV w:val="single" w:color="B7C0C8" w:sz="4"/>
        </w:tblBorders>
        <w:tblLayout w:type="fixed"/>
        <w:tblCellMar>
          <w:top w:type="dxa" w:w="100"/>
          <w:left w:type="dxa" w:w="120"/>
          <w:bottom w:type="dxa" w:w="100"/>
          <w:right w:type="dxa" w:w="120"/>
        </w:tblCellMar>
      </w:tblPr>
      <w:tblGrid>
        <w:gridCol w:w="3500"/>
        <w:gridCol w:w="2930"/>
        <w:gridCol w:w="2930"/>
      </w:tblGrid>
      <w:tr>
        <w:trPr>
          <w:cantSplit/>
          <w:tblHeader/>
        </w:trPr>
        <w:tc>
          <w:tcPr>
            <w:tcW w:type="dxa" w:w="3500"/>
            <w:shd w:fill="EAF4F1" w:color="auto" w:val="clear"/>
            <w:vAlign w:val="center"/>
          </w:tcPr>
          <w:p>
            <w:pPr>
              <w:spacing w:after="20" w:before="20" w:line="240" w:lineRule="auto"/>
              <w:jc w:val="left"/>
            </w:pPr>
            <w:r>
              <w:rPr>
                <w:b/>
                <w:bCs/>
                <w:color w:val="111827"/>
                <w:sz w:val="17"/>
                <w:szCs w:val="17"/>
              </w:rPr>
              <w:t xml:space="preserve">Characteristic</w:t>
            </w:r>
          </w:p>
        </w:tc>
        <w:tc>
          <w:tcPr>
            <w:tcW w:type="dxa" w:w="2930"/>
            <w:shd w:fill="EAF4F1" w:color="auto" w:val="clear"/>
            <w:vAlign w:val="center"/>
          </w:tcPr>
          <w:p>
            <w:pPr>
              <w:spacing w:after="20" w:before="20" w:line="240" w:lineRule="auto"/>
              <w:jc w:val="center"/>
            </w:pPr>
            <w:r>
              <w:rPr>
                <w:b/>
                <w:bCs/>
                <w:color w:val="111827"/>
                <w:sz w:val="17"/>
                <w:szCs w:val="17"/>
              </w:rPr>
              <w:t xml:space="preserve">Structured preparation (n = 118)</w:t>
            </w:r>
          </w:p>
        </w:tc>
        <w:tc>
          <w:tcPr>
            <w:tcW w:type="dxa" w:w="2930"/>
            <w:shd w:fill="EAF4F1" w:color="auto" w:val="clear"/>
            <w:vAlign w:val="center"/>
          </w:tcPr>
          <w:p>
            <w:pPr>
              <w:spacing w:after="20" w:before="20" w:line="240" w:lineRule="auto"/>
              <w:jc w:val="center"/>
            </w:pPr>
            <w:r>
              <w:rPr>
                <w:b/>
                <w:bCs/>
                <w:color w:val="111827"/>
                <w:sz w:val="17"/>
                <w:szCs w:val="17"/>
              </w:rPr>
              <w:t xml:space="preserve">Checklist only (n = 118)</w:t>
            </w:r>
          </w:p>
        </w:tc>
      </w:tr>
      <w:tr>
        <w:trPr>
          <w:cantSplit/>
          <w:tblHeader w:val="false"/>
        </w:trPr>
        <w:tc>
          <w:tcPr>
            <w:tcW w:type="dxa" w:w="3500"/>
            <w:vAlign w:val="center"/>
          </w:tcPr>
          <w:p>
            <w:pPr>
              <w:spacing w:after="20" w:before="20" w:line="240" w:lineRule="auto"/>
              <w:jc w:val="left"/>
            </w:pPr>
            <w:r>
              <w:rPr>
                <w:b w:val="false"/>
                <w:bCs w:val="false"/>
                <w:color w:val="111827"/>
                <w:sz w:val="17"/>
                <w:szCs w:val="17"/>
              </w:rPr>
              <w:t xml:space="preserve">Years since highest degree, mean (SD)</w:t>
            </w:r>
          </w:p>
        </w:tc>
        <w:tc>
          <w:tcPr>
            <w:tcW w:type="dxa" w:w="2930"/>
            <w:vAlign w:val="center"/>
          </w:tcPr>
          <w:p>
            <w:pPr>
              <w:spacing w:after="20" w:before="20" w:line="240" w:lineRule="auto"/>
              <w:jc w:val="center"/>
            </w:pPr>
            <w:r>
              <w:rPr>
                <w:b w:val="false"/>
                <w:bCs w:val="false"/>
                <w:color w:val="111827"/>
                <w:sz w:val="17"/>
                <w:szCs w:val="17"/>
              </w:rPr>
              <w:t xml:space="preserve">7.8 (5.1)</w:t>
            </w:r>
          </w:p>
        </w:tc>
        <w:tc>
          <w:tcPr>
            <w:tcW w:type="dxa" w:w="2930"/>
            <w:vAlign w:val="center"/>
          </w:tcPr>
          <w:p>
            <w:pPr>
              <w:spacing w:after="20" w:before="20" w:line="240" w:lineRule="auto"/>
              <w:jc w:val="center"/>
            </w:pPr>
            <w:r>
              <w:rPr>
                <w:b w:val="false"/>
                <w:bCs w:val="false"/>
                <w:color w:val="111827"/>
                <w:sz w:val="17"/>
                <w:szCs w:val="17"/>
              </w:rPr>
              <w:t xml:space="preserve">8.1 (5.4)</w:t>
            </w:r>
          </w:p>
        </w:tc>
      </w:tr>
      <w:tr>
        <w:trPr>
          <w:cantSplit/>
          <w:tblHeader w:val="false"/>
        </w:trPr>
        <w:tc>
          <w:tcPr>
            <w:tcW w:type="dxa" w:w="3500"/>
            <w:vAlign w:val="center"/>
          </w:tcPr>
          <w:p>
            <w:pPr>
              <w:spacing w:after="20" w:before="20" w:line="240" w:lineRule="auto"/>
              <w:jc w:val="left"/>
            </w:pPr>
            <w:r>
              <w:rPr>
                <w:b w:val="false"/>
                <w:bCs w:val="false"/>
                <w:color w:val="111827"/>
                <w:sz w:val="17"/>
                <w:szCs w:val="17"/>
              </w:rPr>
              <w:t xml:space="preserve">Initial readiness score, mean (SD)</w:t>
            </w:r>
          </w:p>
        </w:tc>
        <w:tc>
          <w:tcPr>
            <w:tcW w:type="dxa" w:w="2930"/>
            <w:vAlign w:val="center"/>
          </w:tcPr>
          <w:p>
            <w:pPr>
              <w:spacing w:after="20" w:before="20" w:line="240" w:lineRule="auto"/>
              <w:jc w:val="center"/>
            </w:pPr>
            <w:r>
              <w:rPr>
                <w:b w:val="false"/>
                <w:bCs w:val="false"/>
                <w:color w:val="111827"/>
                <w:sz w:val="17"/>
                <w:szCs w:val="17"/>
              </w:rPr>
              <w:t xml:space="preserve">61.8 (9.4)</w:t>
            </w:r>
          </w:p>
        </w:tc>
        <w:tc>
          <w:tcPr>
            <w:tcW w:type="dxa" w:w="2930"/>
            <w:vAlign w:val="center"/>
          </w:tcPr>
          <w:p>
            <w:pPr>
              <w:spacing w:after="20" w:before="20" w:line="240" w:lineRule="auto"/>
              <w:jc w:val="center"/>
            </w:pPr>
            <w:r>
              <w:rPr>
                <w:b w:val="false"/>
                <w:bCs w:val="false"/>
                <w:color w:val="111827"/>
                <w:sz w:val="17"/>
                <w:szCs w:val="17"/>
              </w:rPr>
              <w:t xml:space="preserve">62.1 (9.1)</w:t>
            </w:r>
          </w:p>
        </w:tc>
      </w:tr>
      <w:tr>
        <w:trPr>
          <w:cantSplit/>
          <w:tblHeader w:val="false"/>
        </w:trPr>
        <w:tc>
          <w:tcPr>
            <w:tcW w:type="dxa" w:w="3500"/>
            <w:vAlign w:val="center"/>
          </w:tcPr>
          <w:p>
            <w:pPr>
              <w:spacing w:after="20" w:before="20" w:line="240" w:lineRule="auto"/>
              <w:jc w:val="left"/>
            </w:pPr>
            <w:r>
              <w:rPr>
                <w:b w:val="false"/>
                <w:bCs w:val="false"/>
                <w:color w:val="111827"/>
                <w:sz w:val="17"/>
                <w:szCs w:val="17"/>
              </w:rPr>
              <w:t xml:space="preserve">Team size, median (IQR)</w:t>
            </w:r>
          </w:p>
        </w:tc>
        <w:tc>
          <w:tcPr>
            <w:tcW w:type="dxa" w:w="2930"/>
            <w:vAlign w:val="center"/>
          </w:tcPr>
          <w:p>
            <w:pPr>
              <w:spacing w:after="20" w:before="20" w:line="240" w:lineRule="auto"/>
              <w:jc w:val="center"/>
            </w:pPr>
            <w:r>
              <w:rPr>
                <w:b w:val="false"/>
                <w:bCs w:val="false"/>
                <w:color w:val="111827"/>
                <w:sz w:val="17"/>
                <w:szCs w:val="17"/>
              </w:rPr>
              <w:t xml:space="preserve">5 (3-7)</w:t>
            </w:r>
          </w:p>
        </w:tc>
        <w:tc>
          <w:tcPr>
            <w:tcW w:type="dxa" w:w="2930"/>
            <w:vAlign w:val="center"/>
          </w:tcPr>
          <w:p>
            <w:pPr>
              <w:spacing w:after="20" w:before="20" w:line="240" w:lineRule="auto"/>
              <w:jc w:val="center"/>
            </w:pPr>
            <w:r>
              <w:rPr>
                <w:b w:val="false"/>
                <w:bCs w:val="false"/>
                <w:color w:val="111827"/>
                <w:sz w:val="17"/>
                <w:szCs w:val="17"/>
              </w:rPr>
              <w:t xml:space="preserve">5 (3-6)</w:t>
            </w:r>
          </w:p>
        </w:tc>
      </w:tr>
      <w:tr>
        <w:trPr>
          <w:cantSplit/>
          <w:tblHeader w:val="false"/>
        </w:trPr>
        <w:tc>
          <w:tcPr>
            <w:tcW w:type="dxa" w:w="3500"/>
            <w:vAlign w:val="center"/>
          </w:tcPr>
          <w:p>
            <w:pPr>
              <w:spacing w:after="20" w:before="20" w:line="240" w:lineRule="auto"/>
              <w:jc w:val="left"/>
            </w:pPr>
            <w:r>
              <w:rPr>
                <w:b w:val="false"/>
                <w:bCs w:val="false"/>
                <w:color w:val="111827"/>
                <w:sz w:val="17"/>
                <w:szCs w:val="17"/>
              </w:rPr>
              <w:t xml:space="preserve">Prior technical-screening return, No. (%)</w:t>
            </w:r>
          </w:p>
        </w:tc>
        <w:tc>
          <w:tcPr>
            <w:tcW w:type="dxa" w:w="2930"/>
            <w:vAlign w:val="center"/>
          </w:tcPr>
          <w:p>
            <w:pPr>
              <w:spacing w:after="20" w:before="20" w:line="240" w:lineRule="auto"/>
              <w:jc w:val="center"/>
            </w:pPr>
            <w:r>
              <w:rPr>
                <w:b w:val="false"/>
                <w:bCs w:val="false"/>
                <w:color w:val="111827"/>
                <w:sz w:val="17"/>
                <w:szCs w:val="17"/>
              </w:rPr>
              <w:t xml:space="preserve">38 (32.2)</w:t>
            </w:r>
          </w:p>
        </w:tc>
        <w:tc>
          <w:tcPr>
            <w:tcW w:type="dxa" w:w="2930"/>
            <w:vAlign w:val="center"/>
          </w:tcPr>
          <w:p>
            <w:pPr>
              <w:spacing w:after="20" w:before="20" w:line="240" w:lineRule="auto"/>
              <w:jc w:val="center"/>
            </w:pPr>
            <w:r>
              <w:rPr>
                <w:b w:val="false"/>
                <w:bCs w:val="false"/>
                <w:color w:val="111827"/>
                <w:sz w:val="17"/>
                <w:szCs w:val="17"/>
              </w:rPr>
              <w:t xml:space="preserve">36 (30.5)</w:t>
            </w:r>
          </w:p>
        </w:tc>
      </w:tr>
      <w:tr>
        <w:trPr>
          <w:cantSplit/>
          <w:tblHeader w:val="false"/>
        </w:trPr>
        <w:tc>
          <w:tcPr>
            <w:tcW w:type="dxa" w:w="3500"/>
            <w:vAlign w:val="center"/>
          </w:tcPr>
          <w:p>
            <w:pPr>
              <w:spacing w:after="20" w:before="20" w:line="240" w:lineRule="auto"/>
              <w:jc w:val="left"/>
            </w:pPr>
            <w:r>
              <w:rPr>
                <w:b w:val="false"/>
                <w:bCs w:val="false"/>
                <w:color w:val="111827"/>
                <w:sz w:val="17"/>
                <w:szCs w:val="17"/>
              </w:rPr>
              <w:t xml:space="preserve">Biomedical field, No. (%)</w:t>
            </w:r>
          </w:p>
        </w:tc>
        <w:tc>
          <w:tcPr>
            <w:tcW w:type="dxa" w:w="2930"/>
            <w:vAlign w:val="center"/>
          </w:tcPr>
          <w:p>
            <w:pPr>
              <w:spacing w:after="20" w:before="20" w:line="240" w:lineRule="auto"/>
              <w:jc w:val="center"/>
            </w:pPr>
            <w:r>
              <w:rPr>
                <w:b w:val="false"/>
                <w:bCs w:val="false"/>
                <w:color w:val="111827"/>
                <w:sz w:val="17"/>
                <w:szCs w:val="17"/>
              </w:rPr>
              <w:t xml:space="preserve">36 (30.5)</w:t>
            </w:r>
          </w:p>
        </w:tc>
        <w:tc>
          <w:tcPr>
            <w:tcW w:type="dxa" w:w="2930"/>
            <w:vAlign w:val="center"/>
          </w:tcPr>
          <w:p>
            <w:pPr>
              <w:spacing w:after="20" w:before="20" w:line="240" w:lineRule="auto"/>
              <w:jc w:val="center"/>
            </w:pPr>
            <w:r>
              <w:rPr>
                <w:b w:val="false"/>
                <w:bCs w:val="false"/>
                <w:color w:val="111827"/>
                <w:sz w:val="17"/>
                <w:szCs w:val="17"/>
              </w:rPr>
              <w:t xml:space="preserve">37 (31.4)</w:t>
            </w:r>
          </w:p>
        </w:tc>
      </w:tr>
      <w:tr>
        <w:trPr>
          <w:cantSplit/>
          <w:tblHeader w:val="false"/>
        </w:trPr>
        <w:tc>
          <w:tcPr>
            <w:tcW w:type="dxa" w:w="3500"/>
            <w:vAlign w:val="center"/>
          </w:tcPr>
          <w:p>
            <w:pPr>
              <w:spacing w:after="20" w:before="20" w:line="240" w:lineRule="auto"/>
              <w:jc w:val="left"/>
            </w:pPr>
            <w:r>
              <w:rPr>
                <w:b w:val="false"/>
                <w:bCs w:val="false"/>
                <w:color w:val="111827"/>
                <w:sz w:val="17"/>
                <w:szCs w:val="17"/>
              </w:rPr>
              <w:t xml:space="preserve">Social or behavioral field, No. (%)</w:t>
            </w:r>
          </w:p>
        </w:tc>
        <w:tc>
          <w:tcPr>
            <w:tcW w:type="dxa" w:w="2930"/>
            <w:vAlign w:val="center"/>
          </w:tcPr>
          <w:p>
            <w:pPr>
              <w:spacing w:after="20" w:before="20" w:line="240" w:lineRule="auto"/>
              <w:jc w:val="center"/>
            </w:pPr>
            <w:r>
              <w:rPr>
                <w:b w:val="false"/>
                <w:bCs w:val="false"/>
                <w:color w:val="111827"/>
                <w:sz w:val="17"/>
                <w:szCs w:val="17"/>
              </w:rPr>
              <w:t xml:space="preserve">32 (27.1)</w:t>
            </w:r>
          </w:p>
        </w:tc>
        <w:tc>
          <w:tcPr>
            <w:tcW w:type="dxa" w:w="2930"/>
            <w:vAlign w:val="center"/>
          </w:tcPr>
          <w:p>
            <w:pPr>
              <w:spacing w:after="20" w:before="20" w:line="240" w:lineRule="auto"/>
              <w:jc w:val="center"/>
            </w:pPr>
            <w:r>
              <w:rPr>
                <w:b w:val="false"/>
                <w:bCs w:val="false"/>
                <w:color w:val="111827"/>
                <w:sz w:val="17"/>
                <w:szCs w:val="17"/>
              </w:rPr>
              <w:t xml:space="preserve">31 (26.3)</w:t>
            </w:r>
          </w:p>
        </w:tc>
      </w:tr>
      <w:tr>
        <w:trPr>
          <w:cantSplit/>
          <w:tblHeader w:val="false"/>
        </w:trPr>
        <w:tc>
          <w:tcPr>
            <w:tcW w:type="dxa" w:w="3500"/>
            <w:vAlign w:val="center"/>
          </w:tcPr>
          <w:p>
            <w:pPr>
              <w:spacing w:after="20" w:before="20" w:line="240" w:lineRule="auto"/>
              <w:jc w:val="left"/>
            </w:pPr>
            <w:r>
              <w:rPr>
                <w:b w:val="false"/>
                <w:bCs w:val="false"/>
                <w:color w:val="111827"/>
                <w:sz w:val="17"/>
                <w:szCs w:val="17"/>
              </w:rPr>
              <w:t xml:space="preserve">Engineering or data science field, No. (%)</w:t>
            </w:r>
          </w:p>
        </w:tc>
        <w:tc>
          <w:tcPr>
            <w:tcW w:type="dxa" w:w="2930"/>
            <w:vAlign w:val="center"/>
          </w:tcPr>
          <w:p>
            <w:pPr>
              <w:spacing w:after="20" w:before="20" w:line="240" w:lineRule="auto"/>
              <w:jc w:val="center"/>
            </w:pPr>
            <w:r>
              <w:rPr>
                <w:b w:val="false"/>
                <w:bCs w:val="false"/>
                <w:color w:val="111827"/>
                <w:sz w:val="17"/>
                <w:szCs w:val="17"/>
              </w:rPr>
              <w:t xml:space="preserve">27 (22.9)</w:t>
            </w:r>
          </w:p>
        </w:tc>
        <w:tc>
          <w:tcPr>
            <w:tcW w:type="dxa" w:w="2930"/>
            <w:vAlign w:val="center"/>
          </w:tcPr>
          <w:p>
            <w:pPr>
              <w:spacing w:after="20" w:before="20" w:line="240" w:lineRule="auto"/>
              <w:jc w:val="center"/>
            </w:pPr>
            <w:r>
              <w:rPr>
                <w:b w:val="false"/>
                <w:bCs w:val="false"/>
                <w:color w:val="111827"/>
                <w:sz w:val="17"/>
                <w:szCs w:val="17"/>
              </w:rPr>
              <w:t xml:space="preserve">26 (22.0)</w:t>
            </w:r>
          </w:p>
        </w:tc>
      </w:tr>
      <w:tr>
        <w:trPr>
          <w:cantSplit/>
          <w:tblHeader w:val="false"/>
        </w:trPr>
        <w:tc>
          <w:tcPr>
            <w:tcW w:type="dxa" w:w="3500"/>
            <w:vAlign w:val="center"/>
          </w:tcPr>
          <w:p>
            <w:pPr>
              <w:spacing w:after="20" w:before="20" w:line="240" w:lineRule="auto"/>
              <w:jc w:val="left"/>
            </w:pPr>
            <w:r>
              <w:rPr>
                <w:b w:val="false"/>
                <w:bCs w:val="false"/>
                <w:color w:val="111827"/>
                <w:sz w:val="17"/>
                <w:szCs w:val="17"/>
              </w:rPr>
              <w:t xml:space="preserve">Environmental or other field, No. (%)</w:t>
            </w:r>
          </w:p>
        </w:tc>
        <w:tc>
          <w:tcPr>
            <w:tcW w:type="dxa" w:w="2930"/>
            <w:vAlign w:val="center"/>
          </w:tcPr>
          <w:p>
            <w:pPr>
              <w:spacing w:after="20" w:before="20" w:line="240" w:lineRule="auto"/>
              <w:jc w:val="center"/>
            </w:pPr>
            <w:r>
              <w:rPr>
                <w:b w:val="false"/>
                <w:bCs w:val="false"/>
                <w:color w:val="111827"/>
                <w:sz w:val="17"/>
                <w:szCs w:val="17"/>
              </w:rPr>
              <w:t xml:space="preserve">23 (19.5)</w:t>
            </w:r>
          </w:p>
        </w:tc>
        <w:tc>
          <w:tcPr>
            <w:tcW w:type="dxa" w:w="2930"/>
            <w:vAlign w:val="center"/>
          </w:tcPr>
          <w:p>
            <w:pPr>
              <w:spacing w:after="20" w:before="20" w:line="240" w:lineRule="auto"/>
              <w:jc w:val="center"/>
            </w:pPr>
            <w:r>
              <w:rPr>
                <w:b w:val="false"/>
                <w:bCs w:val="false"/>
                <w:color w:val="111827"/>
                <w:sz w:val="17"/>
                <w:szCs w:val="17"/>
              </w:rPr>
              <w:t xml:space="preserve">24 (20.3)</w:t>
            </w:r>
          </w:p>
        </w:tc>
      </w:tr>
      <w:tr>
        <w:trPr>
          <w:cantSplit/>
          <w:tblHeader w:val="false"/>
        </w:trPr>
        <w:tc>
          <w:tcPr>
            <w:tcW w:type="dxa" w:w="3500"/>
            <w:vAlign w:val="center"/>
          </w:tcPr>
          <w:p>
            <w:pPr>
              <w:spacing w:after="20" w:before="20" w:line="240" w:lineRule="auto"/>
              <w:jc w:val="left"/>
            </w:pPr>
            <w:r>
              <w:rPr>
                <w:b w:val="false"/>
                <w:bCs w:val="false"/>
                <w:color w:val="111827"/>
                <w:sz w:val="17"/>
                <w:szCs w:val="17"/>
              </w:rPr>
              <w:t xml:space="preserve">Student first author, No. (%)</w:t>
            </w:r>
          </w:p>
        </w:tc>
        <w:tc>
          <w:tcPr>
            <w:tcW w:type="dxa" w:w="2930"/>
            <w:vAlign w:val="center"/>
          </w:tcPr>
          <w:p>
            <w:pPr>
              <w:spacing w:after="20" w:before="20" w:line="240" w:lineRule="auto"/>
              <w:jc w:val="center"/>
            </w:pPr>
            <w:r>
              <w:rPr>
                <w:b w:val="false"/>
                <w:bCs w:val="false"/>
                <w:color w:val="111827"/>
                <w:sz w:val="17"/>
                <w:szCs w:val="17"/>
              </w:rPr>
              <w:t xml:space="preserve">44 (37.3)</w:t>
            </w:r>
          </w:p>
        </w:tc>
        <w:tc>
          <w:tcPr>
            <w:tcW w:type="dxa" w:w="2930"/>
            <w:vAlign w:val="center"/>
          </w:tcPr>
          <w:p>
            <w:pPr>
              <w:spacing w:after="20" w:before="20" w:line="240" w:lineRule="auto"/>
              <w:jc w:val="center"/>
            </w:pPr>
            <w:r>
              <w:rPr>
                <w:b w:val="false"/>
                <w:bCs w:val="false"/>
                <w:color w:val="111827"/>
                <w:sz w:val="17"/>
                <w:szCs w:val="17"/>
              </w:rPr>
              <w:t xml:space="preserve">42 (35.6)</w:t>
            </w:r>
          </w:p>
        </w:tc>
      </w:tr>
      <w:tr>
        <w:trPr>
          <w:cantSplit/>
          <w:tblHeader w:val="false"/>
        </w:trPr>
        <w:tc>
          <w:tcPr>
            <w:tcW w:type="dxa" w:w="3500"/>
            <w:vAlign w:val="center"/>
          </w:tcPr>
          <w:p>
            <w:pPr>
              <w:spacing w:after="20" w:before="20" w:line="240" w:lineRule="auto"/>
              <w:jc w:val="left"/>
            </w:pPr>
            <w:r>
              <w:rPr>
                <w:b w:val="false"/>
                <w:bCs w:val="false"/>
                <w:color w:val="111827"/>
                <w:sz w:val="17"/>
                <w:szCs w:val="17"/>
              </w:rPr>
              <w:t xml:space="preserve">Early-career first author, No. (%)</w:t>
            </w:r>
          </w:p>
        </w:tc>
        <w:tc>
          <w:tcPr>
            <w:tcW w:type="dxa" w:w="2930"/>
            <w:vAlign w:val="center"/>
          </w:tcPr>
          <w:p>
            <w:pPr>
              <w:spacing w:after="20" w:before="20" w:line="240" w:lineRule="auto"/>
              <w:jc w:val="center"/>
            </w:pPr>
            <w:r>
              <w:rPr>
                <w:b w:val="false"/>
                <w:bCs w:val="false"/>
                <w:color w:val="111827"/>
                <w:sz w:val="17"/>
                <w:szCs w:val="17"/>
              </w:rPr>
              <w:t xml:space="preserve">46 (39.0)</w:t>
            </w:r>
          </w:p>
        </w:tc>
        <w:tc>
          <w:tcPr>
            <w:tcW w:type="dxa" w:w="2930"/>
            <w:vAlign w:val="center"/>
          </w:tcPr>
          <w:p>
            <w:pPr>
              <w:spacing w:after="20" w:before="20" w:line="240" w:lineRule="auto"/>
              <w:jc w:val="center"/>
            </w:pPr>
            <w:r>
              <w:rPr>
                <w:b w:val="false"/>
                <w:bCs w:val="false"/>
                <w:color w:val="111827"/>
                <w:sz w:val="17"/>
                <w:szCs w:val="17"/>
              </w:rPr>
              <w:t xml:space="preserve">48 (40.7)</w:t>
            </w:r>
          </w:p>
        </w:tc>
      </w:tr>
      <w:tr>
        <w:trPr>
          <w:cantSplit/>
          <w:tblHeader w:val="false"/>
        </w:trPr>
        <w:tc>
          <w:tcPr>
            <w:tcW w:type="dxa" w:w="3500"/>
            <w:vAlign w:val="center"/>
          </w:tcPr>
          <w:p>
            <w:pPr>
              <w:spacing w:after="20" w:before="20" w:line="240" w:lineRule="auto"/>
              <w:jc w:val="left"/>
            </w:pPr>
            <w:r>
              <w:rPr>
                <w:b w:val="false"/>
                <w:bCs w:val="false"/>
                <w:color w:val="111827"/>
                <w:sz w:val="17"/>
                <w:szCs w:val="17"/>
              </w:rPr>
              <w:t xml:space="preserve">Senior first author, No. (%)</w:t>
            </w:r>
          </w:p>
        </w:tc>
        <w:tc>
          <w:tcPr>
            <w:tcW w:type="dxa" w:w="2930"/>
            <w:vAlign w:val="center"/>
          </w:tcPr>
          <w:p>
            <w:pPr>
              <w:spacing w:after="20" w:before="20" w:line="240" w:lineRule="auto"/>
              <w:jc w:val="center"/>
            </w:pPr>
            <w:r>
              <w:rPr>
                <w:b w:val="false"/>
                <w:bCs w:val="false"/>
                <w:color w:val="111827"/>
                <w:sz w:val="17"/>
                <w:szCs w:val="17"/>
              </w:rPr>
              <w:t xml:space="preserve">28 (23.7)</w:t>
            </w:r>
          </w:p>
        </w:tc>
        <w:tc>
          <w:tcPr>
            <w:tcW w:type="dxa" w:w="2930"/>
            <w:vAlign w:val="center"/>
          </w:tcPr>
          <w:p>
            <w:pPr>
              <w:spacing w:after="20" w:before="20" w:line="240" w:lineRule="auto"/>
              <w:jc w:val="center"/>
            </w:pPr>
            <w:r>
              <w:rPr>
                <w:b w:val="false"/>
                <w:bCs w:val="false"/>
                <w:color w:val="111827"/>
                <w:sz w:val="17"/>
                <w:szCs w:val="17"/>
              </w:rPr>
              <w:t xml:space="preserve">28 (23.7)</w:t>
            </w:r>
          </w:p>
        </w:tc>
      </w:tr>
    </w:tbl>
    <w:p>
      <w:pPr>
        <w:spacing w:after="140" w:before="60" w:line="220" w:lineRule="auto"/>
      </w:pPr>
      <w:r>
        <w:rPr>
          <w:i/>
          <w:iCs/>
          <w:color w:val="5F6B76"/>
          <w:sz w:val="16"/>
          <w:szCs w:val="16"/>
        </w:rPr>
        <w:t xml:space="preserve">Values are fictional. Percentages may not total 100 because of rounding.</w:t>
      </w:r>
    </w:p>
    <w:p>
      <w:pPr>
        <w:keepNext/>
        <w:spacing w:after="70" w:before="180" w:line="250" w:lineRule="auto"/>
      </w:pPr>
      <w:r>
        <w:rPr>
          <w:b/>
          <w:bCs/>
          <w:sz w:val="19"/>
          <w:szCs w:val="19"/>
        </w:rPr>
        <w:t xml:space="preserve">Table 2. Primary and secondary outcomes</w:t>
      </w:r>
    </w:p>
    <w:tbl>
      <w:tblPr>
        <w:tblW w:type="dxa" w:w="9360"/>
        <w:tblInd w:type="dxa" w:w="120"/>
        <w:tblBorders>
          <w:top w:val="single" w:color="B7C0C8" w:sz="4"/>
          <w:left w:val="single" w:color="B7C0C8" w:sz="4"/>
          <w:bottom w:val="single" w:color="B7C0C8" w:sz="4"/>
          <w:right w:val="single" w:color="B7C0C8" w:sz="4"/>
          <w:insideH w:val="single" w:color="B7C0C8" w:sz="4"/>
          <w:insideV w:val="single" w:color="B7C0C8" w:sz="4"/>
        </w:tblBorders>
        <w:tblLayout w:type="fixed"/>
        <w:tblCellMar>
          <w:top w:type="dxa" w:w="100"/>
          <w:left w:type="dxa" w:w="120"/>
          <w:bottom w:type="dxa" w:w="100"/>
          <w:right w:type="dxa" w:w="120"/>
        </w:tblCellMar>
      </w:tblPr>
      <w:tblGrid>
        <w:gridCol w:w="2700"/>
        <w:gridCol w:w="1800"/>
        <w:gridCol w:w="1800"/>
        <w:gridCol w:w="3060"/>
      </w:tblGrid>
      <w:tr>
        <w:trPr>
          <w:cantSplit/>
          <w:tblHeader/>
        </w:trPr>
        <w:tc>
          <w:tcPr>
            <w:tcW w:type="dxa" w:w="2700"/>
            <w:shd w:fill="EAF4F1" w:color="auto" w:val="clear"/>
            <w:vAlign w:val="center"/>
          </w:tcPr>
          <w:p>
            <w:pPr>
              <w:spacing w:after="20" w:before="20" w:line="240" w:lineRule="auto"/>
              <w:jc w:val="left"/>
            </w:pPr>
            <w:r>
              <w:rPr>
                <w:b/>
                <w:bCs/>
                <w:color w:val="111827"/>
                <w:sz w:val="17"/>
                <w:szCs w:val="17"/>
              </w:rPr>
              <w:t xml:space="preserve">Outcome</w:t>
            </w:r>
          </w:p>
        </w:tc>
        <w:tc>
          <w:tcPr>
            <w:tcW w:type="dxa" w:w="1800"/>
            <w:shd w:fill="EAF4F1" w:color="auto" w:val="clear"/>
            <w:vAlign w:val="center"/>
          </w:tcPr>
          <w:p>
            <w:pPr>
              <w:spacing w:after="20" w:before="20" w:line="240" w:lineRule="auto"/>
              <w:jc w:val="center"/>
            </w:pPr>
            <w:r>
              <w:rPr>
                <w:b/>
                <w:bCs/>
                <w:color w:val="111827"/>
                <w:sz w:val="17"/>
                <w:szCs w:val="17"/>
              </w:rPr>
              <w:t xml:space="preserve">Structured preparation</w:t>
            </w:r>
          </w:p>
        </w:tc>
        <w:tc>
          <w:tcPr>
            <w:tcW w:type="dxa" w:w="1800"/>
            <w:shd w:fill="EAF4F1" w:color="auto" w:val="clear"/>
            <w:vAlign w:val="center"/>
          </w:tcPr>
          <w:p>
            <w:pPr>
              <w:spacing w:after="20" w:before="20" w:line="240" w:lineRule="auto"/>
              <w:jc w:val="center"/>
            </w:pPr>
            <w:r>
              <w:rPr>
                <w:b/>
                <w:bCs/>
                <w:color w:val="111827"/>
                <w:sz w:val="17"/>
                <w:szCs w:val="17"/>
              </w:rPr>
              <w:t xml:space="preserve">Checklist only</w:t>
            </w:r>
          </w:p>
        </w:tc>
        <w:tc>
          <w:tcPr>
            <w:tcW w:type="dxa" w:w="3060"/>
            <w:shd w:fill="EAF4F1" w:color="auto" w:val="clear"/>
            <w:vAlign w:val="center"/>
          </w:tcPr>
          <w:p>
            <w:pPr>
              <w:spacing w:after="20" w:before="20" w:line="240" w:lineRule="auto"/>
              <w:jc w:val="center"/>
            </w:pPr>
            <w:r>
              <w:rPr>
                <w:b/>
                <w:bCs/>
                <w:color w:val="111827"/>
                <w:sz w:val="17"/>
                <w:szCs w:val="17"/>
              </w:rPr>
              <w:t xml:space="preserve">Effect estimate (95% CI)</w:t>
            </w:r>
          </w:p>
        </w:tc>
      </w:tr>
      <w:tr>
        <w:trPr>
          <w:cantSplit/>
          <w:tblHeader w:val="false"/>
        </w:trPr>
        <w:tc>
          <w:tcPr>
            <w:tcW w:type="dxa" w:w="2700"/>
            <w:vAlign w:val="center"/>
          </w:tcPr>
          <w:p>
            <w:pPr>
              <w:spacing w:after="20" w:before="20" w:line="240" w:lineRule="auto"/>
              <w:jc w:val="left"/>
            </w:pPr>
            <w:r>
              <w:rPr>
                <w:b w:val="false"/>
                <w:bCs w:val="false"/>
                <w:color w:val="111827"/>
                <w:sz w:val="17"/>
                <w:szCs w:val="17"/>
              </w:rPr>
              <w:t xml:space="preserve">Readiness score, mean (SD)</w:t>
            </w:r>
          </w:p>
        </w:tc>
        <w:tc>
          <w:tcPr>
            <w:tcW w:type="dxa" w:w="1800"/>
            <w:vAlign w:val="center"/>
          </w:tcPr>
          <w:p>
            <w:pPr>
              <w:spacing w:after="20" w:before="20" w:line="240" w:lineRule="auto"/>
              <w:jc w:val="center"/>
            </w:pPr>
            <w:r>
              <w:rPr>
                <w:b w:val="false"/>
                <w:bCs w:val="false"/>
                <w:color w:val="111827"/>
                <w:sz w:val="17"/>
                <w:szCs w:val="17"/>
              </w:rPr>
              <w:t xml:space="preserve">91.4 (4.8)</w:t>
            </w:r>
          </w:p>
        </w:tc>
        <w:tc>
          <w:tcPr>
            <w:tcW w:type="dxa" w:w="1800"/>
            <w:vAlign w:val="center"/>
          </w:tcPr>
          <w:p>
            <w:pPr>
              <w:spacing w:after="20" w:before="20" w:line="240" w:lineRule="auto"/>
              <w:jc w:val="center"/>
            </w:pPr>
            <w:r>
              <w:rPr>
                <w:b w:val="false"/>
                <w:bCs w:val="false"/>
                <w:color w:val="111827"/>
                <w:sz w:val="17"/>
                <w:szCs w:val="17"/>
              </w:rPr>
              <w:t xml:space="preserve">78.2 (8.1)</w:t>
            </w:r>
          </w:p>
        </w:tc>
        <w:tc>
          <w:tcPr>
            <w:tcW w:type="dxa" w:w="3060"/>
            <w:vAlign w:val="center"/>
          </w:tcPr>
          <w:p>
            <w:pPr>
              <w:spacing w:after="20" w:before="20" w:line="240" w:lineRule="auto"/>
              <w:jc w:val="center"/>
            </w:pPr>
            <w:r>
              <w:rPr>
                <w:b w:val="false"/>
                <w:bCs w:val="false"/>
                <w:color w:val="111827"/>
                <w:sz w:val="17"/>
                <w:szCs w:val="17"/>
              </w:rPr>
              <w:t xml:space="preserve">Adjusted difference, 13.1 (11.4 to 14.8)</w:t>
            </w:r>
          </w:p>
        </w:tc>
      </w:tr>
      <w:tr>
        <w:trPr>
          <w:cantSplit/>
          <w:tblHeader w:val="false"/>
        </w:trPr>
        <w:tc>
          <w:tcPr>
            <w:tcW w:type="dxa" w:w="2700"/>
            <w:vAlign w:val="center"/>
          </w:tcPr>
          <w:p>
            <w:pPr>
              <w:spacing w:after="20" w:before="20" w:line="240" w:lineRule="auto"/>
              <w:jc w:val="left"/>
            </w:pPr>
            <w:r>
              <w:rPr>
                <w:b w:val="false"/>
                <w:bCs w:val="false"/>
                <w:color w:val="111827"/>
                <w:sz w:val="17"/>
                <w:szCs w:val="17"/>
              </w:rPr>
              <w:t xml:space="preserve">Passed simulated technical screen, No. (%)</w:t>
            </w:r>
          </w:p>
        </w:tc>
        <w:tc>
          <w:tcPr>
            <w:tcW w:type="dxa" w:w="1800"/>
            <w:vAlign w:val="center"/>
          </w:tcPr>
          <w:p>
            <w:pPr>
              <w:spacing w:after="20" w:before="20" w:line="240" w:lineRule="auto"/>
              <w:jc w:val="center"/>
            </w:pPr>
            <w:r>
              <w:rPr>
                <w:b w:val="false"/>
                <w:bCs w:val="false"/>
                <w:color w:val="111827"/>
                <w:sz w:val="17"/>
                <w:szCs w:val="17"/>
              </w:rPr>
              <w:t xml:space="preserve">101 (85.6)</w:t>
            </w:r>
          </w:p>
        </w:tc>
        <w:tc>
          <w:tcPr>
            <w:tcW w:type="dxa" w:w="1800"/>
            <w:vAlign w:val="center"/>
          </w:tcPr>
          <w:p>
            <w:pPr>
              <w:spacing w:after="20" w:before="20" w:line="240" w:lineRule="auto"/>
              <w:jc w:val="center"/>
            </w:pPr>
            <w:r>
              <w:rPr>
                <w:b w:val="false"/>
                <w:bCs w:val="false"/>
                <w:color w:val="111827"/>
                <w:sz w:val="17"/>
                <w:szCs w:val="17"/>
              </w:rPr>
              <w:t xml:space="preserve">68 (57.6)</w:t>
            </w:r>
          </w:p>
        </w:tc>
        <w:tc>
          <w:tcPr>
            <w:tcW w:type="dxa" w:w="3060"/>
            <w:vAlign w:val="center"/>
          </w:tcPr>
          <w:p>
            <w:pPr>
              <w:spacing w:after="20" w:before="20" w:line="240" w:lineRule="auto"/>
              <w:jc w:val="center"/>
            </w:pPr>
            <w:r>
              <w:rPr>
                <w:b w:val="false"/>
                <w:bCs w:val="false"/>
                <w:color w:val="111827"/>
                <w:sz w:val="17"/>
                <w:szCs w:val="17"/>
              </w:rPr>
              <w:t xml:space="preserve">Risk ratio, 1.49 (1.25 to 1.77)</w:t>
            </w:r>
          </w:p>
        </w:tc>
      </w:tr>
      <w:tr>
        <w:trPr>
          <w:cantSplit/>
          <w:tblHeader w:val="false"/>
        </w:trPr>
        <w:tc>
          <w:tcPr>
            <w:tcW w:type="dxa" w:w="2700"/>
            <w:vAlign w:val="center"/>
          </w:tcPr>
          <w:p>
            <w:pPr>
              <w:spacing w:after="20" w:before="20" w:line="240" w:lineRule="auto"/>
              <w:jc w:val="left"/>
            </w:pPr>
            <w:r>
              <w:rPr>
                <w:b w:val="false"/>
                <w:bCs w:val="false"/>
                <w:color w:val="111827"/>
                <w:sz w:val="17"/>
                <w:szCs w:val="17"/>
              </w:rPr>
              <w:t xml:space="preserve">Preparation time, median (IQR), min</w:t>
            </w:r>
          </w:p>
        </w:tc>
        <w:tc>
          <w:tcPr>
            <w:tcW w:type="dxa" w:w="1800"/>
            <w:vAlign w:val="center"/>
          </w:tcPr>
          <w:p>
            <w:pPr>
              <w:spacing w:after="20" w:before="20" w:line="240" w:lineRule="auto"/>
              <w:jc w:val="center"/>
            </w:pPr>
            <w:r>
              <w:rPr>
                <w:b w:val="false"/>
                <w:bCs w:val="false"/>
                <w:color w:val="111827"/>
                <w:sz w:val="17"/>
                <w:szCs w:val="17"/>
              </w:rPr>
              <w:t xml:space="preserve">132 (98-171)</w:t>
            </w:r>
          </w:p>
        </w:tc>
        <w:tc>
          <w:tcPr>
            <w:tcW w:type="dxa" w:w="1800"/>
            <w:vAlign w:val="center"/>
          </w:tcPr>
          <w:p>
            <w:pPr>
              <w:spacing w:after="20" w:before="20" w:line="240" w:lineRule="auto"/>
              <w:jc w:val="center"/>
            </w:pPr>
            <w:r>
              <w:rPr>
                <w:b w:val="false"/>
                <w:bCs w:val="false"/>
                <w:color w:val="111827"/>
                <w:sz w:val="17"/>
                <w:szCs w:val="17"/>
              </w:rPr>
              <w:t xml:space="preserve">214 (165-286)</w:t>
            </w:r>
          </w:p>
        </w:tc>
        <w:tc>
          <w:tcPr>
            <w:tcW w:type="dxa" w:w="3060"/>
            <w:vAlign w:val="center"/>
          </w:tcPr>
          <w:p>
            <w:pPr>
              <w:spacing w:after="20" w:before="20" w:line="240" w:lineRule="auto"/>
              <w:jc w:val="center"/>
            </w:pPr>
            <w:r>
              <w:rPr>
                <w:b w:val="false"/>
                <w:bCs w:val="false"/>
                <w:color w:val="111827"/>
                <w:sz w:val="17"/>
                <w:szCs w:val="17"/>
              </w:rPr>
              <w:t xml:space="preserve">Median difference, -79 (-96 to -61)</w:t>
            </w:r>
          </w:p>
        </w:tc>
      </w:tr>
      <w:tr>
        <w:trPr>
          <w:cantSplit/>
          <w:tblHeader w:val="false"/>
        </w:trPr>
        <w:tc>
          <w:tcPr>
            <w:tcW w:type="dxa" w:w="2700"/>
            <w:vAlign w:val="center"/>
          </w:tcPr>
          <w:p>
            <w:pPr>
              <w:spacing w:after="20" w:before="20" w:line="240" w:lineRule="auto"/>
              <w:jc w:val="left"/>
            </w:pPr>
            <w:r>
              <w:rPr>
                <w:b w:val="false"/>
                <w:bCs w:val="false"/>
                <w:color w:val="111827"/>
                <w:sz w:val="17"/>
                <w:szCs w:val="17"/>
              </w:rPr>
              <w:t xml:space="preserve">Unresolved readiness items, median (IQR)</w:t>
            </w:r>
          </w:p>
        </w:tc>
        <w:tc>
          <w:tcPr>
            <w:tcW w:type="dxa" w:w="1800"/>
            <w:vAlign w:val="center"/>
          </w:tcPr>
          <w:p>
            <w:pPr>
              <w:spacing w:after="20" w:before="20" w:line="240" w:lineRule="auto"/>
              <w:jc w:val="center"/>
            </w:pPr>
            <w:r>
              <w:rPr>
                <w:b w:val="false"/>
                <w:bCs w:val="false"/>
                <w:color w:val="111827"/>
                <w:sz w:val="17"/>
                <w:szCs w:val="17"/>
              </w:rPr>
              <w:t xml:space="preserve">2 (1-3)</w:t>
            </w:r>
          </w:p>
        </w:tc>
        <w:tc>
          <w:tcPr>
            <w:tcW w:type="dxa" w:w="1800"/>
            <w:vAlign w:val="center"/>
          </w:tcPr>
          <w:p>
            <w:pPr>
              <w:spacing w:after="20" w:before="20" w:line="240" w:lineRule="auto"/>
              <w:jc w:val="center"/>
            </w:pPr>
            <w:r>
              <w:rPr>
                <w:b w:val="false"/>
                <w:bCs w:val="false"/>
                <w:color w:val="111827"/>
                <w:sz w:val="17"/>
                <w:szCs w:val="17"/>
              </w:rPr>
              <w:t xml:space="preserve">7 (4-10)</w:t>
            </w:r>
          </w:p>
        </w:tc>
        <w:tc>
          <w:tcPr>
            <w:tcW w:type="dxa" w:w="3060"/>
            <w:vAlign w:val="center"/>
          </w:tcPr>
          <w:p>
            <w:pPr>
              <w:spacing w:after="20" w:before="20" w:line="240" w:lineRule="auto"/>
              <w:jc w:val="center"/>
            </w:pPr>
            <w:r>
              <w:rPr>
                <w:b w:val="false"/>
                <w:bCs w:val="false"/>
                <w:color w:val="111827"/>
                <w:sz w:val="17"/>
                <w:szCs w:val="17"/>
              </w:rPr>
              <w:t xml:space="preserve">Rate ratio, 0.34 (0.28 to 0.42)</w:t>
            </w:r>
          </w:p>
        </w:tc>
      </w:tr>
      <w:tr>
        <w:trPr>
          <w:cantSplit/>
          <w:tblHeader w:val="false"/>
        </w:trPr>
        <w:tc>
          <w:tcPr>
            <w:tcW w:type="dxa" w:w="2700"/>
            <w:vAlign w:val="center"/>
          </w:tcPr>
          <w:p>
            <w:pPr>
              <w:spacing w:after="20" w:before="20" w:line="240" w:lineRule="auto"/>
              <w:jc w:val="left"/>
            </w:pPr>
            <w:r>
              <w:rPr>
                <w:b w:val="false"/>
                <w:bCs w:val="false"/>
                <w:color w:val="111827"/>
                <w:sz w:val="17"/>
                <w:szCs w:val="17"/>
              </w:rPr>
              <w:t xml:space="preserve">Privacy near misses, No. (%)</w:t>
            </w:r>
          </w:p>
        </w:tc>
        <w:tc>
          <w:tcPr>
            <w:tcW w:type="dxa" w:w="1800"/>
            <w:vAlign w:val="center"/>
          </w:tcPr>
          <w:p>
            <w:pPr>
              <w:spacing w:after="20" w:before="20" w:line="240" w:lineRule="auto"/>
              <w:jc w:val="center"/>
            </w:pPr>
            <w:r>
              <w:rPr>
                <w:b w:val="false"/>
                <w:bCs w:val="false"/>
                <w:color w:val="111827"/>
                <w:sz w:val="17"/>
                <w:szCs w:val="17"/>
              </w:rPr>
              <w:t xml:space="preserve">1 (0.8)</w:t>
            </w:r>
          </w:p>
        </w:tc>
        <w:tc>
          <w:tcPr>
            <w:tcW w:type="dxa" w:w="1800"/>
            <w:vAlign w:val="center"/>
          </w:tcPr>
          <w:p>
            <w:pPr>
              <w:spacing w:after="20" w:before="20" w:line="240" w:lineRule="auto"/>
              <w:jc w:val="center"/>
            </w:pPr>
            <w:r>
              <w:rPr>
                <w:b w:val="false"/>
                <w:bCs w:val="false"/>
                <w:color w:val="111827"/>
                <w:sz w:val="17"/>
                <w:szCs w:val="17"/>
              </w:rPr>
              <w:t xml:space="preserve">4 (3.4)</w:t>
            </w:r>
          </w:p>
        </w:tc>
        <w:tc>
          <w:tcPr>
            <w:tcW w:type="dxa" w:w="3060"/>
            <w:vAlign w:val="center"/>
          </w:tcPr>
          <w:p>
            <w:pPr>
              <w:spacing w:after="20" w:before="20" w:line="240" w:lineRule="auto"/>
              <w:jc w:val="center"/>
            </w:pPr>
            <w:r>
              <w:rPr>
                <w:b w:val="false"/>
                <w:bCs w:val="false"/>
                <w:color w:val="111827"/>
                <w:sz w:val="17"/>
                <w:szCs w:val="17"/>
              </w:rPr>
              <w:t xml:space="preserve">Risk difference, -2.5 (-6.2 to 1.1) percentage points</w:t>
            </w:r>
          </w:p>
        </w:tc>
      </w:tr>
    </w:tbl>
    <w:p>
      <w:pPr>
        <w:spacing w:after="140" w:before="60" w:line="220" w:lineRule="auto"/>
      </w:pPr>
      <w:r>
        <w:rPr>
          <w:i/>
          <w:iCs/>
          <w:color w:val="5F6B76"/>
          <w:sz w:val="16"/>
          <w:szCs w:val="16"/>
        </w:rPr>
        <w:t xml:space="preserve">Values are fictional. Percentages may not total 100 because of rounding.</w:t>
      </w:r>
    </w:p>
    <w:p>
      <w:r>
        <w:br w:type="page"/>
      </w:r>
    </w:p>
    <w:p>
      <w:pPr>
        <w:keepNext/>
        <w:spacing w:after="70" w:before="180" w:line="250" w:lineRule="auto"/>
      </w:pPr>
      <w:r>
        <w:rPr>
          <w:b/>
          <w:bCs/>
          <w:sz w:val="19"/>
          <w:szCs w:val="19"/>
        </w:rPr>
        <w:t xml:space="preserve">Table 3. Readiness scores by prespecified domain</w:t>
      </w:r>
    </w:p>
    <w:tbl>
      <w:tblPr>
        <w:tblW w:type="dxa" w:w="9360"/>
        <w:tblInd w:type="dxa" w:w="120"/>
        <w:tblBorders>
          <w:top w:val="single" w:color="B7C0C8" w:sz="4"/>
          <w:left w:val="single" w:color="B7C0C8" w:sz="4"/>
          <w:bottom w:val="single" w:color="B7C0C8" w:sz="4"/>
          <w:right w:val="single" w:color="B7C0C8" w:sz="4"/>
          <w:insideH w:val="single" w:color="B7C0C8" w:sz="4"/>
          <w:insideV w:val="single" w:color="B7C0C8" w:sz="4"/>
        </w:tblBorders>
        <w:tblLayout w:type="fixed"/>
        <w:tblCellMar>
          <w:top w:type="dxa" w:w="100"/>
          <w:left w:type="dxa" w:w="120"/>
          <w:bottom w:type="dxa" w:w="100"/>
          <w:right w:type="dxa" w:w="120"/>
        </w:tblCellMar>
      </w:tblPr>
      <w:tblGrid>
        <w:gridCol w:w="2500"/>
        <w:gridCol w:w="2200"/>
        <w:gridCol w:w="2200"/>
        <w:gridCol w:w="2460"/>
      </w:tblGrid>
      <w:tr>
        <w:trPr>
          <w:cantSplit/>
          <w:tblHeader/>
        </w:trPr>
        <w:tc>
          <w:tcPr>
            <w:tcW w:type="dxa" w:w="2500"/>
            <w:shd w:fill="EAF4F1" w:color="auto" w:val="clear"/>
            <w:vAlign w:val="center"/>
          </w:tcPr>
          <w:p>
            <w:pPr>
              <w:spacing w:after="20" w:before="20" w:line="240" w:lineRule="auto"/>
              <w:jc w:val="left"/>
            </w:pPr>
            <w:r>
              <w:rPr>
                <w:b/>
                <w:bCs/>
                <w:color w:val="111827"/>
                <w:sz w:val="17"/>
                <w:szCs w:val="17"/>
              </w:rPr>
              <w:t xml:space="preserve">Readiness domain (0-100)</w:t>
            </w:r>
          </w:p>
        </w:tc>
        <w:tc>
          <w:tcPr>
            <w:tcW w:type="dxa" w:w="2200"/>
            <w:shd w:fill="EAF4F1" w:color="auto" w:val="clear"/>
            <w:vAlign w:val="center"/>
          </w:tcPr>
          <w:p>
            <w:pPr>
              <w:spacing w:after="20" w:before="20" w:line="240" w:lineRule="auto"/>
              <w:jc w:val="center"/>
            </w:pPr>
            <w:r>
              <w:rPr>
                <w:b/>
                <w:bCs/>
                <w:color w:val="111827"/>
                <w:sz w:val="17"/>
                <w:szCs w:val="17"/>
              </w:rPr>
              <w:t xml:space="preserve">Structured mean (95% CI)</w:t>
            </w:r>
          </w:p>
        </w:tc>
        <w:tc>
          <w:tcPr>
            <w:tcW w:type="dxa" w:w="2200"/>
            <w:shd w:fill="EAF4F1" w:color="auto" w:val="clear"/>
            <w:vAlign w:val="center"/>
          </w:tcPr>
          <w:p>
            <w:pPr>
              <w:spacing w:after="20" w:before="20" w:line="240" w:lineRule="auto"/>
              <w:jc w:val="center"/>
            </w:pPr>
            <w:r>
              <w:rPr>
                <w:b/>
                <w:bCs/>
                <w:color w:val="111827"/>
                <w:sz w:val="17"/>
                <w:szCs w:val="17"/>
              </w:rPr>
              <w:t xml:space="preserve">Checklist mean (95% CI)</w:t>
            </w:r>
          </w:p>
        </w:tc>
        <w:tc>
          <w:tcPr>
            <w:tcW w:type="dxa" w:w="2460"/>
            <w:shd w:fill="EAF4F1" w:color="auto" w:val="clear"/>
            <w:vAlign w:val="center"/>
          </w:tcPr>
          <w:p>
            <w:pPr>
              <w:spacing w:after="20" w:before="20" w:line="240" w:lineRule="auto"/>
              <w:jc w:val="center"/>
            </w:pPr>
            <w:r>
              <w:rPr>
                <w:b/>
                <w:bCs/>
                <w:color w:val="111827"/>
                <w:sz w:val="17"/>
                <w:szCs w:val="17"/>
              </w:rPr>
              <w:t xml:space="preserve">Adjusted difference</w:t>
            </w:r>
          </w:p>
        </w:tc>
      </w:tr>
      <w:tr>
        <w:trPr>
          <w:cantSplit/>
          <w:tblHeader w:val="false"/>
        </w:trPr>
        <w:tc>
          <w:tcPr>
            <w:tcW w:type="dxa" w:w="2500"/>
            <w:vAlign w:val="center"/>
          </w:tcPr>
          <w:p>
            <w:pPr>
              <w:spacing w:after="20" w:before="20" w:line="240" w:lineRule="auto"/>
              <w:jc w:val="left"/>
            </w:pPr>
            <w:r>
              <w:rPr>
                <w:b w:val="false"/>
                <w:bCs w:val="false"/>
                <w:color w:val="111827"/>
                <w:sz w:val="17"/>
                <w:szCs w:val="17"/>
              </w:rPr>
              <w:t xml:space="preserve">Manuscript structure</w:t>
            </w:r>
          </w:p>
        </w:tc>
        <w:tc>
          <w:tcPr>
            <w:tcW w:type="dxa" w:w="2200"/>
            <w:vAlign w:val="center"/>
          </w:tcPr>
          <w:p>
            <w:pPr>
              <w:spacing w:after="20" w:before="20" w:line="240" w:lineRule="auto"/>
              <w:jc w:val="center"/>
            </w:pPr>
            <w:r>
              <w:rPr>
                <w:b w:val="false"/>
                <w:bCs w:val="false"/>
                <w:color w:val="111827"/>
                <w:sz w:val="17"/>
                <w:szCs w:val="17"/>
              </w:rPr>
              <w:t xml:space="preserve">93.2 (92.3-94.1)</w:t>
            </w:r>
          </w:p>
        </w:tc>
        <w:tc>
          <w:tcPr>
            <w:tcW w:type="dxa" w:w="2200"/>
            <w:vAlign w:val="center"/>
          </w:tcPr>
          <w:p>
            <w:pPr>
              <w:spacing w:after="20" w:before="20" w:line="240" w:lineRule="auto"/>
              <w:jc w:val="center"/>
            </w:pPr>
            <w:r>
              <w:rPr>
                <w:b w:val="false"/>
                <w:bCs w:val="false"/>
                <w:color w:val="111827"/>
                <w:sz w:val="17"/>
                <w:szCs w:val="17"/>
              </w:rPr>
              <w:t xml:space="preserve">79.4 (77.9-80.9)</w:t>
            </w:r>
          </w:p>
        </w:tc>
        <w:tc>
          <w:tcPr>
            <w:tcW w:type="dxa" w:w="2460"/>
            <w:vAlign w:val="center"/>
          </w:tcPr>
          <w:p>
            <w:pPr>
              <w:spacing w:after="20" w:before="20" w:line="240" w:lineRule="auto"/>
              <w:jc w:val="center"/>
            </w:pPr>
            <w:r>
              <w:rPr>
                <w:b w:val="false"/>
                <w:bCs w:val="false"/>
                <w:color w:val="111827"/>
                <w:sz w:val="17"/>
                <w:szCs w:val="17"/>
              </w:rPr>
              <w:t xml:space="preserve">13.7</w:t>
            </w:r>
          </w:p>
        </w:tc>
      </w:tr>
      <w:tr>
        <w:trPr>
          <w:cantSplit/>
          <w:tblHeader w:val="false"/>
        </w:trPr>
        <w:tc>
          <w:tcPr>
            <w:tcW w:type="dxa" w:w="2500"/>
            <w:vAlign w:val="center"/>
          </w:tcPr>
          <w:p>
            <w:pPr>
              <w:spacing w:after="20" w:before="20" w:line="240" w:lineRule="auto"/>
              <w:jc w:val="left"/>
            </w:pPr>
            <w:r>
              <w:rPr>
                <w:b w:val="false"/>
                <w:bCs w:val="false"/>
                <w:color w:val="111827"/>
                <w:sz w:val="17"/>
                <w:szCs w:val="17"/>
              </w:rPr>
              <w:t xml:space="preserve">Reporting completeness</w:t>
            </w:r>
          </w:p>
        </w:tc>
        <w:tc>
          <w:tcPr>
            <w:tcW w:type="dxa" w:w="2200"/>
            <w:vAlign w:val="center"/>
          </w:tcPr>
          <w:p>
            <w:pPr>
              <w:spacing w:after="20" w:before="20" w:line="240" w:lineRule="auto"/>
              <w:jc w:val="center"/>
            </w:pPr>
            <w:r>
              <w:rPr>
                <w:b w:val="false"/>
                <w:bCs w:val="false"/>
                <w:color w:val="111827"/>
                <w:sz w:val="17"/>
                <w:szCs w:val="17"/>
              </w:rPr>
              <w:t xml:space="preserve">90.1 (89.0-91.2)</w:t>
            </w:r>
          </w:p>
        </w:tc>
        <w:tc>
          <w:tcPr>
            <w:tcW w:type="dxa" w:w="2200"/>
            <w:vAlign w:val="center"/>
          </w:tcPr>
          <w:p>
            <w:pPr>
              <w:spacing w:after="20" w:before="20" w:line="240" w:lineRule="auto"/>
              <w:jc w:val="center"/>
            </w:pPr>
            <w:r>
              <w:rPr>
                <w:b w:val="false"/>
                <w:bCs w:val="false"/>
                <w:color w:val="111827"/>
                <w:sz w:val="17"/>
                <w:szCs w:val="17"/>
              </w:rPr>
              <w:t xml:space="preserve">75.8 (74.1-77.5)</w:t>
            </w:r>
          </w:p>
        </w:tc>
        <w:tc>
          <w:tcPr>
            <w:tcW w:type="dxa" w:w="2460"/>
            <w:vAlign w:val="center"/>
          </w:tcPr>
          <w:p>
            <w:pPr>
              <w:spacing w:after="20" w:before="20" w:line="240" w:lineRule="auto"/>
              <w:jc w:val="center"/>
            </w:pPr>
            <w:r>
              <w:rPr>
                <w:b w:val="false"/>
                <w:bCs w:val="false"/>
                <w:color w:val="111827"/>
                <w:sz w:val="17"/>
                <w:szCs w:val="17"/>
              </w:rPr>
              <w:t xml:space="preserve">14.2</w:t>
            </w:r>
          </w:p>
        </w:tc>
      </w:tr>
      <w:tr>
        <w:trPr>
          <w:cantSplit/>
          <w:tblHeader w:val="false"/>
        </w:trPr>
        <w:tc>
          <w:tcPr>
            <w:tcW w:type="dxa" w:w="2500"/>
            <w:vAlign w:val="center"/>
          </w:tcPr>
          <w:p>
            <w:pPr>
              <w:spacing w:after="20" w:before="20" w:line="240" w:lineRule="auto"/>
              <w:jc w:val="left"/>
            </w:pPr>
            <w:r>
              <w:rPr>
                <w:b w:val="false"/>
                <w:bCs w:val="false"/>
                <w:color w:val="111827"/>
                <w:sz w:val="17"/>
                <w:szCs w:val="17"/>
              </w:rPr>
              <w:t xml:space="preserve">References and citations</w:t>
            </w:r>
          </w:p>
        </w:tc>
        <w:tc>
          <w:tcPr>
            <w:tcW w:type="dxa" w:w="2200"/>
            <w:vAlign w:val="center"/>
          </w:tcPr>
          <w:p>
            <w:pPr>
              <w:spacing w:after="20" w:before="20" w:line="240" w:lineRule="auto"/>
              <w:jc w:val="center"/>
            </w:pPr>
            <w:r>
              <w:rPr>
                <w:b w:val="false"/>
                <w:bCs w:val="false"/>
                <w:color w:val="111827"/>
                <w:sz w:val="17"/>
                <w:szCs w:val="17"/>
              </w:rPr>
              <w:t xml:space="preserve">92.4 (91.4-93.4)</w:t>
            </w:r>
          </w:p>
        </w:tc>
        <w:tc>
          <w:tcPr>
            <w:tcW w:type="dxa" w:w="2200"/>
            <w:vAlign w:val="center"/>
          </w:tcPr>
          <w:p>
            <w:pPr>
              <w:spacing w:after="20" w:before="20" w:line="240" w:lineRule="auto"/>
              <w:jc w:val="center"/>
            </w:pPr>
            <w:r>
              <w:rPr>
                <w:b w:val="false"/>
                <w:bCs w:val="false"/>
                <w:color w:val="111827"/>
                <w:sz w:val="17"/>
                <w:szCs w:val="17"/>
              </w:rPr>
              <w:t xml:space="preserve">80.7 (79.1-82.3)</w:t>
            </w:r>
          </w:p>
        </w:tc>
        <w:tc>
          <w:tcPr>
            <w:tcW w:type="dxa" w:w="2460"/>
            <w:vAlign w:val="center"/>
          </w:tcPr>
          <w:p>
            <w:pPr>
              <w:spacing w:after="20" w:before="20" w:line="240" w:lineRule="auto"/>
              <w:jc w:val="center"/>
            </w:pPr>
            <w:r>
              <w:rPr>
                <w:b w:val="false"/>
                <w:bCs w:val="false"/>
                <w:color w:val="111827"/>
                <w:sz w:val="17"/>
                <w:szCs w:val="17"/>
              </w:rPr>
              <w:t xml:space="preserve">11.6</w:t>
            </w:r>
          </w:p>
        </w:tc>
      </w:tr>
      <w:tr>
        <w:trPr>
          <w:cantSplit/>
          <w:tblHeader w:val="false"/>
        </w:trPr>
        <w:tc>
          <w:tcPr>
            <w:tcW w:type="dxa" w:w="2500"/>
            <w:vAlign w:val="center"/>
          </w:tcPr>
          <w:p>
            <w:pPr>
              <w:spacing w:after="20" w:before="20" w:line="240" w:lineRule="auto"/>
              <w:jc w:val="left"/>
            </w:pPr>
            <w:r>
              <w:rPr>
                <w:b w:val="false"/>
                <w:bCs w:val="false"/>
                <w:color w:val="111827"/>
                <w:sz w:val="17"/>
                <w:szCs w:val="17"/>
              </w:rPr>
              <w:t xml:space="preserve">Tables and figures</w:t>
            </w:r>
          </w:p>
        </w:tc>
        <w:tc>
          <w:tcPr>
            <w:tcW w:type="dxa" w:w="2200"/>
            <w:vAlign w:val="center"/>
          </w:tcPr>
          <w:p>
            <w:pPr>
              <w:spacing w:after="20" w:before="20" w:line="240" w:lineRule="auto"/>
              <w:jc w:val="center"/>
            </w:pPr>
            <w:r>
              <w:rPr>
                <w:b w:val="false"/>
                <w:bCs w:val="false"/>
                <w:color w:val="111827"/>
                <w:sz w:val="17"/>
                <w:szCs w:val="17"/>
              </w:rPr>
              <w:t xml:space="preserve">89.7 (88.5-90.9)</w:t>
            </w:r>
          </w:p>
        </w:tc>
        <w:tc>
          <w:tcPr>
            <w:tcW w:type="dxa" w:w="2200"/>
            <w:vAlign w:val="center"/>
          </w:tcPr>
          <w:p>
            <w:pPr>
              <w:spacing w:after="20" w:before="20" w:line="240" w:lineRule="auto"/>
              <w:jc w:val="center"/>
            </w:pPr>
            <w:r>
              <w:rPr>
                <w:b w:val="false"/>
                <w:bCs w:val="false"/>
                <w:color w:val="111827"/>
                <w:sz w:val="17"/>
                <w:szCs w:val="17"/>
              </w:rPr>
              <w:t xml:space="preserve">76.9 (75.1-78.7)</w:t>
            </w:r>
          </w:p>
        </w:tc>
        <w:tc>
          <w:tcPr>
            <w:tcW w:type="dxa" w:w="2460"/>
            <w:vAlign w:val="center"/>
          </w:tcPr>
          <w:p>
            <w:pPr>
              <w:spacing w:after="20" w:before="20" w:line="240" w:lineRule="auto"/>
              <w:jc w:val="center"/>
            </w:pPr>
            <w:r>
              <w:rPr>
                <w:b w:val="false"/>
                <w:bCs w:val="false"/>
                <w:color w:val="111827"/>
                <w:sz w:val="17"/>
                <w:szCs w:val="17"/>
              </w:rPr>
              <w:t xml:space="preserve">12.7</w:t>
            </w:r>
          </w:p>
        </w:tc>
      </w:tr>
      <w:tr>
        <w:trPr>
          <w:cantSplit/>
          <w:tblHeader w:val="false"/>
        </w:trPr>
        <w:tc>
          <w:tcPr>
            <w:tcW w:type="dxa" w:w="2500"/>
            <w:vAlign w:val="center"/>
          </w:tcPr>
          <w:p>
            <w:pPr>
              <w:spacing w:after="20" w:before="20" w:line="240" w:lineRule="auto"/>
              <w:jc w:val="left"/>
            </w:pPr>
            <w:r>
              <w:rPr>
                <w:b w:val="false"/>
                <w:bCs w:val="false"/>
                <w:color w:val="111827"/>
                <w:sz w:val="17"/>
                <w:szCs w:val="17"/>
              </w:rPr>
              <w:t xml:space="preserve">Declarations and metadata</w:t>
            </w:r>
          </w:p>
        </w:tc>
        <w:tc>
          <w:tcPr>
            <w:tcW w:type="dxa" w:w="2200"/>
            <w:vAlign w:val="center"/>
          </w:tcPr>
          <w:p>
            <w:pPr>
              <w:spacing w:after="20" w:before="20" w:line="240" w:lineRule="auto"/>
              <w:jc w:val="center"/>
            </w:pPr>
            <w:r>
              <w:rPr>
                <w:b w:val="false"/>
                <w:bCs w:val="false"/>
                <w:color w:val="111827"/>
                <w:sz w:val="17"/>
                <w:szCs w:val="17"/>
              </w:rPr>
              <w:t xml:space="preserve">91.6 (90.5-92.7)</w:t>
            </w:r>
          </w:p>
        </w:tc>
        <w:tc>
          <w:tcPr>
            <w:tcW w:type="dxa" w:w="2200"/>
            <w:vAlign w:val="center"/>
          </w:tcPr>
          <w:p>
            <w:pPr>
              <w:spacing w:after="20" w:before="20" w:line="240" w:lineRule="auto"/>
              <w:jc w:val="center"/>
            </w:pPr>
            <w:r>
              <w:rPr>
                <w:b w:val="false"/>
                <w:bCs w:val="false"/>
                <w:color w:val="111827"/>
                <w:sz w:val="17"/>
                <w:szCs w:val="17"/>
              </w:rPr>
              <w:t xml:space="preserve">78.2 (76.5-79.9)</w:t>
            </w:r>
          </w:p>
        </w:tc>
        <w:tc>
          <w:tcPr>
            <w:tcW w:type="dxa" w:w="2460"/>
            <w:vAlign w:val="center"/>
          </w:tcPr>
          <w:p>
            <w:pPr>
              <w:spacing w:after="20" w:before="20" w:line="240" w:lineRule="auto"/>
              <w:jc w:val="center"/>
            </w:pPr>
            <w:r>
              <w:rPr>
                <w:b w:val="false"/>
                <w:bCs w:val="false"/>
                <w:color w:val="111827"/>
                <w:sz w:val="17"/>
                <w:szCs w:val="17"/>
              </w:rPr>
              <w:t xml:space="preserve">13.3</w:t>
            </w:r>
          </w:p>
        </w:tc>
      </w:tr>
    </w:tbl>
    <w:p>
      <w:pPr>
        <w:spacing w:after="140" w:before="60" w:line="220" w:lineRule="auto"/>
      </w:pPr>
      <w:r>
        <w:rPr>
          <w:i/>
          <w:iCs/>
          <w:color w:val="5F6B76"/>
          <w:sz w:val="16"/>
          <w:szCs w:val="16"/>
        </w:rPr>
        <w:t xml:space="preserve">Values are fictional. Percentages may not total 100 because of rounding.</w:t>
      </w:r>
    </w:p>
    <w:p>
      <w:pPr>
        <w:pStyle w:val="Heading1"/>
        <w:keepNext/>
        <w:spacing w:after="100" w:before="240" w:line="260" w:lineRule="auto"/>
      </w:pPr>
      <w:r>
        <w:t xml:space="preserve">Figure Legends</w:t>
      </w:r>
    </w:p>
    <w:p>
      <w:pPr>
        <w:spacing w:after="120" w:before="0" w:line="300" w:lineRule="auto"/>
      </w:pPr>
      <w:r>
        <w:rPr>
          <w:b/>
          <w:bCs/>
        </w:rPr>
        <w:t xml:space="preserve">Figure 1. Flow of fictional manuscript teams through the simulated randomized study. All counts are synthetic.</w:t>
      </w:r>
    </w:p>
    <w:p>
      <w:pPr>
        <w:spacing w:after="120" w:before="0" w:line="300" w:lineRule="auto"/>
      </w:pPr>
      <w:r>
        <w:rPr>
          <w:b/>
          <w:bCs/>
        </w:rPr>
        <w:t xml:space="preserve">Figure 2. Mean readiness scores by prespecified domain. Dots show fictional group means; confidence intervals are reported in Table 3.</w:t>
      </w:r>
    </w:p>
    <w:p>
      <w:pPr>
        <w:spacing w:after="120" w:before="0" w:line="300" w:lineRule="auto"/>
      </w:pPr>
      <w:r>
        <w:rPr>
          <w:b/>
          <w:bCs/>
        </w:rPr>
        <w:t xml:space="preserve">Figure 3. Simulated technical-screen pass rates overall and for selected critical domains. Values are synthetic percentages.</w:t>
      </w:r>
    </w:p>
    <w:p>
      <w:pPr>
        <w:spacing w:after="120" w:before="0" w:line="300" w:lineRule="auto"/>
      </w:pPr>
      <w:r>
        <w:rPr>
          <w:i/>
          <w:iCs/>
          <w:color w:val="5F6B76"/>
        </w:rPr>
        <w:t xml:space="preserve">Journal-ready figure files are supplied separately in the figures folder of this package.</w:t>
      </w:r>
    </w:p>
    <w:sectPr>
      <w:headerReference w:type="default" r:id="rId7"/>
      <w:footerReference w:type="default" r:id="rId8"/>
      <w:pgSz w:w="11906" w:h="16838" w:orient="portrait"/>
      <w:pgMar w:top="1440" w:right="1440" w:bottom="1440" w:left="1440" w:header="708" w:footer="708" w:gutter="0"/>
      <w:pgNumType w:start="1"/>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before="40"/>
      <w:jc w:val="center"/>
    </w:pPr>
    <w:r>
      <w:rPr>
        <w:color w:val="5F6B76"/>
        <w:sz w:val="16"/>
        <w:szCs w:val="16"/>
      </w:rPr>
      <w:t xml:space="preserve">Fictional Articlo sample  |  Page </w:t>
    </w:r>
    <w:r>
      <w:rPr>
        <w:color w:val="5F6B76"/>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before="0" w:line="220" w:lineRule="auto"/>
      <w:jc w:val="right"/>
    </w:pPr>
    <w:r>
      <w:rPr>
        <w:color w:val="5F6B76"/>
        <w:sz w:val="16"/>
        <w:szCs w:val="16"/>
      </w:rPr>
      <w:t xml:space="preserve">JAMA | Original Investigation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111827"/>
        <w:sz w:val="22"/>
        <w:szCs w:val="22"/>
      </w:rPr>
    </w:rPrDefault>
    <w:pPrDefault>
      <w:pPr>
        <w:spacing w:after="120" w:line="300" w:lineRule="auto"/>
      </w:pPr>
    </w:pPrDefault>
  </w:docDefaults>
  <w:style w:type="paragraph" w:styleId="Title">
    <w:name w:val="Title"/>
    <w:basedOn w:val="Normal"/>
    <w:next w:val="Normal"/>
    <w:qFormat/>
    <w:pPr>
      <w:spacing w:after="180" w:line="300" w:lineRule="auto"/>
      <w:jc w:val="center"/>
    </w:pPr>
    <w:rPr>
      <w:rFonts w:ascii="Arial" w:cs="Arial" w:eastAsia="Arial" w:hAnsi="Arial"/>
      <w:b/>
      <w:bCs/>
      <w:color w:val="111827"/>
      <w:sz w:val="32"/>
      <w:szCs w:val="32"/>
    </w:rPr>
  </w:style>
  <w:style w:type="paragraph" w:styleId="Heading1">
    <w:name w:val="Heading 1"/>
    <w:basedOn w:val="Normal"/>
    <w:next w:val="Normal"/>
    <w:qFormat/>
    <w:pPr>
      <w:keepNext/>
      <w:spacing w:after="120" w:before="280" w:line="280" w:lineRule="auto"/>
    </w:pPr>
    <w:rPr>
      <w:rFonts w:ascii="Arial" w:cs="Arial" w:eastAsia="Arial" w:hAnsi="Arial"/>
      <w:b/>
      <w:bCs/>
      <w:color w:val="111827"/>
      <w:sz w:val="25"/>
      <w:szCs w:val="25"/>
    </w:rPr>
  </w:style>
  <w:style w:type="paragraph" w:styleId="Heading2">
    <w:name w:val="Heading 2"/>
    <w:basedOn w:val="Normal"/>
    <w:next w:val="Normal"/>
    <w:qFormat/>
    <w:pPr>
      <w:keepNext/>
      <w:spacing w:after="90" w:before="200" w:line="260" w:lineRule="auto"/>
    </w:pPr>
    <w:rPr>
      <w:rFonts w:ascii="Arial" w:cs="Arial" w:eastAsia="Arial" w:hAnsi="Arial"/>
      <w:b/>
      <w:bCs/>
      <w:color w:val="111827"/>
      <w:sz w:val="21"/>
      <w:szCs w:val="21"/>
    </w:rPr>
  </w:style>
  <w:style w:type="paragraph" w:styleId="Heading3">
    <w:name w:val="Heading 3"/>
    <w:basedOn w:val="Normal"/>
    <w:next w:val="Normal"/>
    <w:qFormat/>
    <w:pPr>
      <w:keepNext/>
      <w:spacing w:after="80" w:before="160" w:line="250" w:lineRule="auto"/>
    </w:pPr>
    <w:rPr>
      <w:rFonts w:ascii="Arial" w:cs="Arial" w:eastAsia="Arial" w:hAnsi="Arial"/>
      <w:b/>
      <w:bCs/>
      <w:i/>
      <w:iCs/>
      <w:color w:val="111827"/>
      <w:sz w:val="19"/>
      <w:szCs w:val="19"/>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Structured manuscript preparation improves journal-readiness scores in a simulated randomized study</dc:title>
  <dc:subject>Fictional Articlo journal-preparation demonstration</dc:subject>
  <dc:creator>Articlo</dc:creator>
  <dc:description>FICTIONAL DEMONSTRATION — No real participants, institutions, data, registrations, identifiers, or references.</dc:description>
  <cp:lastModifiedBy>Un-named</cp:lastModifiedBy>
  <cp:revision>1</cp:revision>
  <dcterms:created xsi:type="dcterms:W3CDTF">2026-07-12T17:24:29.247Z</dcterms:created>
  <dcterms:modified xsi:type="dcterms:W3CDTF">2026-07-12T17:24:29.247Z</dcterms:modified>
</cp:coreProperties>
</file>

<file path=docProps/custom.xml><?xml version="1.0" encoding="utf-8"?>
<Properties xmlns="http://schemas.openxmlformats.org/officeDocument/2006/custom-properties" xmlns:vt="http://schemas.openxmlformats.org/officeDocument/2006/docPropsVTypes"/>
</file>