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line="300" w:lineRule="auto"/>
        <w:jc w:val="center"/>
      </w:pPr>
      <w:r>
        <w:rPr>
          <w:b/>
          <w:bCs/>
          <w:caps/>
          <w:color w:val="147A62"/>
          <w:sz w:val="20"/>
          <w:szCs w:val="20"/>
        </w:rPr>
        <w:t xml:space="preserve">ARTICLO SAMPLE</w:t>
      </w:r>
    </w:p>
    <w:p>
      <w:pPr>
        <w:spacing w:after="120" w:before="0" w:line="300" w:lineRule="auto"/>
        <w:jc w:val="center"/>
      </w:pPr>
      <w:r>
        <w:rPr>
          <w:b/>
          <w:bCs/>
          <w:sz w:val="34"/>
          <w:szCs w:val="34"/>
        </w:rPr>
        <w:t xml:space="preserve">Preparation Report</w:t>
      </w:r>
    </w:p>
    <w:p>
      <w:pPr>
        <w:spacing w:after="180" w:before="0" w:line="300" w:lineRule="auto"/>
        <w:jc w:val="center"/>
      </w:pPr>
      <w:r>
        <w:rPr>
          <w:b/>
          <w:bCs/>
          <w:color w:val="9A3412"/>
          <w:sz w:val="18"/>
          <w:szCs w:val="18"/>
        </w:rPr>
        <w:t xml:space="preserve">FICTIONAL DEMONSTRATION — No real participants, institutions, data, registrations, identifiers, or references.</w:t>
      </w:r>
    </w:p>
    <w:p>
      <w:pPr>
        <w:spacing w:after="180" w:before="0" w:line="300" w:lineRule="auto"/>
      </w:pPr>
      <w:r>
        <w:t xml:space="preserve">This report compares four versions of the same complete fictional study. Numerical results, tables, figures, claims, and underlying meaning are preserved. Only organization, visible formatting, citation presentation, declaration placement, and submission packaging change.</w:t>
      </w:r>
    </w:p>
    <w:p>
      <w:pPr>
        <w:pStyle w:val="Heading1"/>
        <w:keepNext/>
        <w:spacing w:after="100" w:before="240" w:line="260" w:lineRule="auto"/>
      </w:pPr>
      <w:r>
        <w:t xml:space="preserve">Side-by-side transformation</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1700"/>
        <w:gridCol w:w="1700"/>
        <w:gridCol w:w="2000"/>
        <w:gridCol w:w="1960"/>
        <w:gridCol w:w="2000"/>
      </w:tblGrid>
      <w:tr>
        <w:trPr>
          <w:cantSplit/>
          <w:tblHeader/>
        </w:trPr>
        <w:tc>
          <w:tcPr>
            <w:tcW w:type="dxa" w:w="1700"/>
            <w:shd w:fill="EAF4F1" w:color="auto" w:val="clear"/>
            <w:vAlign w:val="center"/>
          </w:tcPr>
          <w:p>
            <w:pPr>
              <w:spacing w:after="20" w:before="20" w:line="240" w:lineRule="auto"/>
              <w:jc w:val="left"/>
            </w:pPr>
            <w:r>
              <w:rPr>
                <w:b/>
                <w:bCs/>
                <w:color w:val="111827"/>
                <w:sz w:val="15"/>
                <w:szCs w:val="15"/>
              </w:rPr>
              <w:t xml:space="preserve">Preparation area</w:t>
            </w:r>
          </w:p>
        </w:tc>
        <w:tc>
          <w:tcPr>
            <w:tcW w:type="dxa" w:w="1700"/>
            <w:shd w:fill="EAF4F1" w:color="auto" w:val="clear"/>
            <w:vAlign w:val="center"/>
          </w:tcPr>
          <w:p>
            <w:pPr>
              <w:spacing w:after="20" w:before="20" w:line="240" w:lineRule="auto"/>
              <w:jc w:val="center"/>
            </w:pPr>
            <w:r>
              <w:rPr>
                <w:b/>
                <w:bCs/>
                <w:color w:val="111827"/>
                <w:sz w:val="15"/>
                <w:szCs w:val="15"/>
              </w:rPr>
              <w:t xml:space="preserve">Original draft</w:t>
            </w:r>
          </w:p>
        </w:tc>
        <w:tc>
          <w:tcPr>
            <w:tcW w:type="dxa" w:w="2000"/>
            <w:shd w:fill="EAF4F1" w:color="auto" w:val="clear"/>
            <w:vAlign w:val="center"/>
          </w:tcPr>
          <w:p>
            <w:pPr>
              <w:spacing w:after="20" w:before="20" w:line="240" w:lineRule="auto"/>
              <w:jc w:val="center"/>
            </w:pPr>
            <w:r>
              <w:rPr>
                <w:b/>
                <w:bCs/>
                <w:color w:val="111827"/>
                <w:sz w:val="15"/>
                <w:szCs w:val="15"/>
              </w:rPr>
              <w:t xml:space="preserve">PLOS ONE</w:t>
            </w:r>
          </w:p>
        </w:tc>
        <w:tc>
          <w:tcPr>
            <w:tcW w:type="dxa" w:w="1960"/>
            <w:shd w:fill="EAF4F1" w:color="auto" w:val="clear"/>
            <w:vAlign w:val="center"/>
          </w:tcPr>
          <w:p>
            <w:pPr>
              <w:spacing w:after="20" w:before="20" w:line="240" w:lineRule="auto"/>
              <w:jc w:val="center"/>
            </w:pPr>
            <w:r>
              <w:rPr>
                <w:b/>
                <w:bCs/>
                <w:color w:val="111827"/>
                <w:sz w:val="15"/>
                <w:szCs w:val="15"/>
              </w:rPr>
              <w:t xml:space="preserve">Scientific Reports</w:t>
            </w:r>
          </w:p>
        </w:tc>
        <w:tc>
          <w:tcPr>
            <w:tcW w:type="dxa" w:w="2000"/>
            <w:shd w:fill="EAF4F1" w:color="auto" w:val="clear"/>
            <w:vAlign w:val="center"/>
          </w:tcPr>
          <w:p>
            <w:pPr>
              <w:spacing w:after="20" w:before="20" w:line="240" w:lineRule="auto"/>
              <w:jc w:val="center"/>
            </w:pPr>
            <w:r>
              <w:rPr>
                <w:b/>
                <w:bCs/>
                <w:color w:val="111827"/>
                <w:sz w:val="15"/>
                <w:szCs w:val="15"/>
              </w:rPr>
              <w:t xml:space="preserve">JAMA</w:t>
            </w:r>
          </w:p>
        </w:tc>
      </w:tr>
      <w:tr>
        <w:trPr>
          <w:cantSplit/>
          <w:tblHeader w:val="false"/>
        </w:trPr>
        <w:tc>
          <w:tcPr>
            <w:tcW w:type="dxa" w:w="1700"/>
            <w:vAlign w:val="center"/>
          </w:tcPr>
          <w:p>
            <w:pPr>
              <w:spacing w:after="20" w:before="20" w:line="240" w:lineRule="auto"/>
              <w:jc w:val="left"/>
            </w:pPr>
            <w:r>
              <w:rPr>
                <w:b w:val="false"/>
                <w:bCs w:val="false"/>
                <w:color w:val="111827"/>
                <w:sz w:val="15"/>
                <w:szCs w:val="15"/>
              </w:rPr>
              <w:t xml:space="preserve">Abstract</w:t>
            </w:r>
          </w:p>
        </w:tc>
        <w:tc>
          <w:tcPr>
            <w:tcW w:type="dxa" w:w="1700"/>
            <w:vAlign w:val="center"/>
          </w:tcPr>
          <w:p>
            <w:pPr>
              <w:spacing w:after="20" w:before="20" w:line="240" w:lineRule="auto"/>
              <w:jc w:val="center"/>
            </w:pPr>
            <w:r>
              <w:rPr>
                <w:b w:val="false"/>
                <w:bCs w:val="false"/>
                <w:color w:val="111827"/>
                <w:sz w:val="15"/>
                <w:szCs w:val="15"/>
              </w:rPr>
              <w:t xml:space="preserve">General structured draft</w:t>
            </w:r>
          </w:p>
        </w:tc>
        <w:tc>
          <w:tcPr>
            <w:tcW w:type="dxa" w:w="2000"/>
            <w:vAlign w:val="center"/>
          </w:tcPr>
          <w:p>
            <w:pPr>
              <w:spacing w:after="20" w:before="20" w:line="240" w:lineRule="auto"/>
              <w:jc w:val="center"/>
            </w:pPr>
            <w:r>
              <w:rPr>
                <w:b w:val="false"/>
                <w:bCs w:val="false"/>
                <w:color w:val="111827"/>
                <w:sz w:val="15"/>
                <w:szCs w:val="15"/>
              </w:rPr>
              <w:t xml:space="preserve">Unstructured, ≤300 words</w:t>
            </w:r>
          </w:p>
        </w:tc>
        <w:tc>
          <w:tcPr>
            <w:tcW w:type="dxa" w:w="1960"/>
            <w:vAlign w:val="center"/>
          </w:tcPr>
          <w:p>
            <w:pPr>
              <w:spacing w:after="20" w:before="20" w:line="240" w:lineRule="auto"/>
              <w:jc w:val="center"/>
            </w:pPr>
            <w:r>
              <w:rPr>
                <w:b w:val="false"/>
                <w:bCs w:val="false"/>
                <w:color w:val="111827"/>
                <w:sz w:val="15"/>
                <w:szCs w:val="15"/>
              </w:rPr>
              <w:t xml:space="preserve">Unstructured, ≤200 words</w:t>
            </w:r>
          </w:p>
        </w:tc>
        <w:tc>
          <w:tcPr>
            <w:tcW w:type="dxa" w:w="2000"/>
            <w:vAlign w:val="center"/>
          </w:tcPr>
          <w:p>
            <w:pPr>
              <w:spacing w:after="20" w:before="20" w:line="240" w:lineRule="auto"/>
              <w:jc w:val="center"/>
            </w:pPr>
            <w:r>
              <w:rPr>
                <w:b w:val="false"/>
                <w:bCs w:val="false"/>
                <w:color w:val="111827"/>
                <w:sz w:val="15"/>
                <w:szCs w:val="15"/>
              </w:rPr>
              <w:t xml:space="preserve">Structured abstract plus Key Points</w:t>
            </w:r>
          </w:p>
        </w:tc>
      </w:tr>
      <w:tr>
        <w:trPr>
          <w:cantSplit/>
          <w:tblHeader w:val="false"/>
        </w:trPr>
        <w:tc>
          <w:tcPr>
            <w:tcW w:type="dxa" w:w="1700"/>
            <w:vAlign w:val="center"/>
          </w:tcPr>
          <w:p>
            <w:pPr>
              <w:spacing w:after="20" w:before="20" w:line="240" w:lineRule="auto"/>
              <w:jc w:val="left"/>
            </w:pPr>
            <w:r>
              <w:rPr>
                <w:b w:val="false"/>
                <w:bCs w:val="false"/>
                <w:color w:val="111827"/>
                <w:sz w:val="15"/>
                <w:szCs w:val="15"/>
              </w:rPr>
              <w:t xml:space="preserve">Body order</w:t>
            </w:r>
          </w:p>
        </w:tc>
        <w:tc>
          <w:tcPr>
            <w:tcW w:type="dxa" w:w="1700"/>
            <w:vAlign w:val="center"/>
          </w:tcPr>
          <w:p>
            <w:pPr>
              <w:spacing w:after="20" w:before="20" w:line="240" w:lineRule="auto"/>
              <w:jc w:val="center"/>
            </w:pPr>
            <w:r>
              <w:rPr>
                <w:b w:val="false"/>
                <w:bCs w:val="false"/>
                <w:color w:val="111827"/>
                <w:sz w:val="15"/>
                <w:szCs w:val="15"/>
              </w:rPr>
              <w:t xml:space="preserve">IMRaD</w:t>
            </w:r>
          </w:p>
        </w:tc>
        <w:tc>
          <w:tcPr>
            <w:tcW w:type="dxa" w:w="2000"/>
            <w:vAlign w:val="center"/>
          </w:tcPr>
          <w:p>
            <w:pPr>
              <w:spacing w:after="20" w:before="20" w:line="240" w:lineRule="auto"/>
              <w:jc w:val="center"/>
            </w:pPr>
            <w:r>
              <w:rPr>
                <w:b w:val="false"/>
                <w:bCs w:val="false"/>
                <w:color w:val="111827"/>
                <w:sz w:val="15"/>
                <w:szCs w:val="15"/>
              </w:rPr>
              <w:t xml:space="preserve">Introduction; Materials and Methods; Results; Discussion</w:t>
            </w:r>
          </w:p>
        </w:tc>
        <w:tc>
          <w:tcPr>
            <w:tcW w:type="dxa" w:w="1960"/>
            <w:vAlign w:val="center"/>
          </w:tcPr>
          <w:p>
            <w:pPr>
              <w:spacing w:after="20" w:before="20" w:line="240" w:lineRule="auto"/>
              <w:jc w:val="center"/>
            </w:pPr>
            <w:r>
              <w:rPr>
                <w:b w:val="false"/>
                <w:bCs w:val="false"/>
                <w:color w:val="111827"/>
                <w:sz w:val="15"/>
                <w:szCs w:val="15"/>
              </w:rPr>
              <w:t xml:space="preserve">Introduction; Results; Discussion; Methods</w:t>
            </w:r>
          </w:p>
        </w:tc>
        <w:tc>
          <w:tcPr>
            <w:tcW w:type="dxa" w:w="2000"/>
            <w:vAlign w:val="center"/>
          </w:tcPr>
          <w:p>
            <w:pPr>
              <w:spacing w:after="20" w:before="20" w:line="240" w:lineRule="auto"/>
              <w:jc w:val="center"/>
            </w:pPr>
            <w:r>
              <w:rPr>
                <w:b w:val="false"/>
                <w:bCs w:val="false"/>
                <w:color w:val="111827"/>
                <w:sz w:val="15"/>
                <w:szCs w:val="15"/>
              </w:rPr>
              <w:t xml:space="preserve">Introduction; Methods; Results; Discussion</w:t>
            </w:r>
          </w:p>
        </w:tc>
      </w:tr>
      <w:tr>
        <w:trPr>
          <w:cantSplit/>
          <w:tblHeader w:val="false"/>
        </w:trPr>
        <w:tc>
          <w:tcPr>
            <w:tcW w:type="dxa" w:w="1700"/>
            <w:vAlign w:val="center"/>
          </w:tcPr>
          <w:p>
            <w:pPr>
              <w:spacing w:after="20" w:before="20" w:line="240" w:lineRule="auto"/>
              <w:jc w:val="left"/>
            </w:pPr>
            <w:r>
              <w:rPr>
                <w:b w:val="false"/>
                <w:bCs w:val="false"/>
                <w:color w:val="111827"/>
                <w:sz w:val="15"/>
                <w:szCs w:val="15"/>
              </w:rPr>
              <w:t xml:space="preserve">Citations</w:t>
            </w:r>
          </w:p>
        </w:tc>
        <w:tc>
          <w:tcPr>
            <w:tcW w:type="dxa" w:w="1700"/>
            <w:vAlign w:val="center"/>
          </w:tcPr>
          <w:p>
            <w:pPr>
              <w:spacing w:after="20" w:before="20" w:line="240" w:lineRule="auto"/>
              <w:jc w:val="center"/>
            </w:pPr>
            <w:r>
              <w:rPr>
                <w:b w:val="false"/>
                <w:bCs w:val="false"/>
                <w:color w:val="111827"/>
                <w:sz w:val="15"/>
                <w:szCs w:val="15"/>
              </w:rPr>
              <w:t xml:space="preserve">Author-year</w:t>
            </w:r>
          </w:p>
        </w:tc>
        <w:tc>
          <w:tcPr>
            <w:tcW w:type="dxa" w:w="2000"/>
            <w:vAlign w:val="center"/>
          </w:tcPr>
          <w:p>
            <w:pPr>
              <w:spacing w:after="20" w:before="20" w:line="240" w:lineRule="auto"/>
              <w:jc w:val="center"/>
            </w:pPr>
            <w:r>
              <w:rPr>
                <w:b w:val="false"/>
                <w:bCs w:val="false"/>
                <w:color w:val="111827"/>
                <w:sz w:val="15"/>
                <w:szCs w:val="15"/>
              </w:rPr>
              <w:t xml:space="preserve">Vancouver numbered</w:t>
            </w:r>
          </w:p>
        </w:tc>
        <w:tc>
          <w:tcPr>
            <w:tcW w:type="dxa" w:w="1960"/>
            <w:vAlign w:val="center"/>
          </w:tcPr>
          <w:p>
            <w:pPr>
              <w:spacing w:after="20" w:before="20" w:line="240" w:lineRule="auto"/>
              <w:jc w:val="center"/>
            </w:pPr>
            <w:r>
              <w:rPr>
                <w:b w:val="false"/>
                <w:bCs w:val="false"/>
                <w:color w:val="111827"/>
                <w:sz w:val="15"/>
                <w:szCs w:val="15"/>
              </w:rPr>
              <w:t xml:space="preserve">Nature numeric superscripts</w:t>
            </w:r>
          </w:p>
        </w:tc>
        <w:tc>
          <w:tcPr>
            <w:tcW w:type="dxa" w:w="2000"/>
            <w:vAlign w:val="center"/>
          </w:tcPr>
          <w:p>
            <w:pPr>
              <w:spacing w:after="20" w:before="20" w:line="240" w:lineRule="auto"/>
              <w:jc w:val="center"/>
            </w:pPr>
            <w:r>
              <w:rPr>
                <w:b w:val="false"/>
                <w:bCs w:val="false"/>
                <w:color w:val="111827"/>
                <w:sz w:val="15"/>
                <w:szCs w:val="15"/>
              </w:rPr>
              <w:t xml:space="preserve">AMA numeric superscripts</w:t>
            </w:r>
          </w:p>
        </w:tc>
      </w:tr>
      <w:tr>
        <w:trPr>
          <w:cantSplit/>
          <w:tblHeader w:val="false"/>
        </w:trPr>
        <w:tc>
          <w:tcPr>
            <w:tcW w:type="dxa" w:w="1700"/>
            <w:vAlign w:val="center"/>
          </w:tcPr>
          <w:p>
            <w:pPr>
              <w:spacing w:after="20" w:before="20" w:line="240" w:lineRule="auto"/>
              <w:jc w:val="left"/>
            </w:pPr>
            <w:r>
              <w:rPr>
                <w:b w:val="false"/>
                <w:bCs w:val="false"/>
                <w:color w:val="111827"/>
                <w:sz w:val="15"/>
                <w:szCs w:val="15"/>
              </w:rPr>
              <w:t xml:space="preserve">Layout</w:t>
            </w:r>
          </w:p>
        </w:tc>
        <w:tc>
          <w:tcPr>
            <w:tcW w:type="dxa" w:w="1700"/>
            <w:vAlign w:val="center"/>
          </w:tcPr>
          <w:p>
            <w:pPr>
              <w:spacing w:after="20" w:before="20" w:line="240" w:lineRule="auto"/>
              <w:jc w:val="center"/>
            </w:pPr>
            <w:r>
              <w:rPr>
                <w:b w:val="false"/>
                <w:bCs w:val="false"/>
                <w:color w:val="111827"/>
                <w:sz w:val="15"/>
                <w:szCs w:val="15"/>
              </w:rPr>
              <w:t xml:space="preserve">Readable working draft</w:t>
            </w:r>
          </w:p>
        </w:tc>
        <w:tc>
          <w:tcPr>
            <w:tcW w:type="dxa" w:w="2000"/>
            <w:vAlign w:val="center"/>
          </w:tcPr>
          <w:p>
            <w:pPr>
              <w:spacing w:after="20" w:before="20" w:line="240" w:lineRule="auto"/>
              <w:jc w:val="center"/>
            </w:pPr>
            <w:r>
              <w:rPr>
                <w:b w:val="false"/>
                <w:bCs w:val="false"/>
                <w:color w:val="111827"/>
                <w:sz w:val="15"/>
                <w:szCs w:val="15"/>
              </w:rPr>
              <w:t xml:space="preserve">Double-spaced with continuous line and page numbers</w:t>
            </w:r>
          </w:p>
        </w:tc>
        <w:tc>
          <w:tcPr>
            <w:tcW w:type="dxa" w:w="1960"/>
            <w:vAlign w:val="center"/>
          </w:tcPr>
          <w:p>
            <w:pPr>
              <w:spacing w:after="20" w:before="20" w:line="240" w:lineRule="auto"/>
              <w:jc w:val="center"/>
            </w:pPr>
            <w:r>
              <w:rPr>
                <w:b w:val="false"/>
                <w:bCs w:val="false"/>
                <w:color w:val="111827"/>
                <w:sz w:val="15"/>
                <w:szCs w:val="15"/>
              </w:rPr>
              <w:t xml:space="preserve">Single-column; 4,500-word main-text target; ≤6 keywords</w:t>
            </w:r>
          </w:p>
        </w:tc>
        <w:tc>
          <w:tcPr>
            <w:tcW w:type="dxa" w:w="2000"/>
            <w:vAlign w:val="center"/>
          </w:tcPr>
          <w:p>
            <w:pPr>
              <w:spacing w:after="20" w:before="20" w:line="240" w:lineRule="auto"/>
              <w:jc w:val="center"/>
            </w:pPr>
            <w:r>
              <w:rPr>
                <w:b w:val="false"/>
                <w:bCs w:val="false"/>
                <w:color w:val="111827"/>
                <w:sz w:val="15"/>
                <w:szCs w:val="15"/>
              </w:rPr>
              <w:t xml:space="preserve">Title page, page numbers, counts, separate figure files</w:t>
            </w:r>
          </w:p>
        </w:tc>
      </w:tr>
      <w:tr>
        <w:trPr>
          <w:cantSplit/>
          <w:tblHeader w:val="false"/>
        </w:trPr>
        <w:tc>
          <w:tcPr>
            <w:tcW w:type="dxa" w:w="1700"/>
            <w:vAlign w:val="center"/>
          </w:tcPr>
          <w:p>
            <w:pPr>
              <w:spacing w:after="20" w:before="20" w:line="240" w:lineRule="auto"/>
              <w:jc w:val="left"/>
            </w:pPr>
            <w:r>
              <w:rPr>
                <w:b w:val="false"/>
                <w:bCs w:val="false"/>
                <w:color w:val="111827"/>
                <w:sz w:val="15"/>
                <w:szCs w:val="15"/>
              </w:rPr>
              <w:t xml:space="preserve">Tables and figures</w:t>
            </w:r>
          </w:p>
        </w:tc>
        <w:tc>
          <w:tcPr>
            <w:tcW w:type="dxa" w:w="1700"/>
            <w:vAlign w:val="center"/>
          </w:tcPr>
          <w:p>
            <w:pPr>
              <w:spacing w:after="20" w:before="20" w:line="240" w:lineRule="auto"/>
              <w:jc w:val="center"/>
            </w:pPr>
            <w:r>
              <w:rPr>
                <w:b w:val="false"/>
                <w:bCs w:val="false"/>
                <w:color w:val="111827"/>
                <w:sz w:val="15"/>
                <w:szCs w:val="15"/>
              </w:rPr>
              <w:t xml:space="preserve">Embedded for review</w:t>
            </w:r>
          </w:p>
        </w:tc>
        <w:tc>
          <w:tcPr>
            <w:tcW w:type="dxa" w:w="2000"/>
            <w:vAlign w:val="center"/>
          </w:tcPr>
          <w:p>
            <w:pPr>
              <w:spacing w:after="20" w:before="20" w:line="240" w:lineRule="auto"/>
              <w:jc w:val="center"/>
            </w:pPr>
            <w:r>
              <w:rPr>
                <w:b w:val="false"/>
                <w:bCs w:val="false"/>
                <w:color w:val="111827"/>
                <w:sz w:val="15"/>
                <w:szCs w:val="15"/>
              </w:rPr>
              <w:t xml:space="preserve">Tables and captions placed at first citation; figure files separate</w:t>
            </w:r>
          </w:p>
        </w:tc>
        <w:tc>
          <w:tcPr>
            <w:tcW w:type="dxa" w:w="1960"/>
            <w:vAlign w:val="center"/>
          </w:tcPr>
          <w:p>
            <w:pPr>
              <w:spacing w:after="20" w:before="20" w:line="240" w:lineRule="auto"/>
              <w:jc w:val="center"/>
            </w:pPr>
            <w:r>
              <w:rPr>
                <w:b w:val="false"/>
                <w:bCs w:val="false"/>
                <w:color w:val="111827"/>
                <w:sz w:val="15"/>
                <w:szCs w:val="15"/>
              </w:rPr>
              <w:t xml:space="preserve">Tables and figures grouped after main text for this sample</w:t>
            </w:r>
          </w:p>
        </w:tc>
        <w:tc>
          <w:tcPr>
            <w:tcW w:type="dxa" w:w="2000"/>
            <w:vAlign w:val="center"/>
          </w:tcPr>
          <w:p>
            <w:pPr>
              <w:spacing w:after="20" w:before="20" w:line="240" w:lineRule="auto"/>
              <w:jc w:val="center"/>
            </w:pPr>
            <w:r>
              <w:rPr>
                <w:b w:val="false"/>
                <w:bCs w:val="false"/>
                <w:color w:val="111827"/>
                <w:sz w:val="15"/>
                <w:szCs w:val="15"/>
              </w:rPr>
              <w:t xml:space="preserve">Tables and legends in manuscript; figure files separate</w:t>
            </w:r>
          </w:p>
        </w:tc>
      </w:tr>
      <w:tr>
        <w:trPr>
          <w:cantSplit/>
          <w:tblHeader w:val="false"/>
        </w:trPr>
        <w:tc>
          <w:tcPr>
            <w:tcW w:type="dxa" w:w="1700"/>
            <w:vAlign w:val="center"/>
          </w:tcPr>
          <w:p>
            <w:pPr>
              <w:spacing w:after="20" w:before="20" w:line="240" w:lineRule="auto"/>
              <w:jc w:val="left"/>
            </w:pPr>
            <w:r>
              <w:rPr>
                <w:b w:val="false"/>
                <w:bCs w:val="false"/>
                <w:color w:val="111827"/>
                <w:sz w:val="15"/>
                <w:szCs w:val="15"/>
              </w:rPr>
              <w:t xml:space="preserve">Declarations</w:t>
            </w:r>
          </w:p>
        </w:tc>
        <w:tc>
          <w:tcPr>
            <w:tcW w:type="dxa" w:w="1700"/>
            <w:vAlign w:val="center"/>
          </w:tcPr>
          <w:p>
            <w:pPr>
              <w:spacing w:after="20" w:before="20" w:line="240" w:lineRule="auto"/>
              <w:jc w:val="center"/>
            </w:pPr>
            <w:r>
              <w:rPr>
                <w:b w:val="false"/>
                <w:bCs w:val="false"/>
                <w:color w:val="111827"/>
                <w:sz w:val="15"/>
                <w:szCs w:val="15"/>
              </w:rPr>
              <w:t xml:space="preserve">Combined author notes</w:t>
            </w:r>
          </w:p>
        </w:tc>
        <w:tc>
          <w:tcPr>
            <w:tcW w:type="dxa" w:w="2000"/>
            <w:vAlign w:val="center"/>
          </w:tcPr>
          <w:p>
            <w:pPr>
              <w:spacing w:after="20" w:before="20" w:line="240" w:lineRule="auto"/>
              <w:jc w:val="center"/>
            </w:pPr>
            <w:r>
              <w:rPr>
                <w:b w:val="false"/>
                <w:bCs w:val="false"/>
                <w:color w:val="111827"/>
                <w:sz w:val="15"/>
                <w:szCs w:val="15"/>
              </w:rPr>
              <w:t xml:space="preserve">PLOS submission declarations surfaced</w:t>
            </w:r>
          </w:p>
        </w:tc>
        <w:tc>
          <w:tcPr>
            <w:tcW w:type="dxa" w:w="1960"/>
            <w:vAlign w:val="center"/>
          </w:tcPr>
          <w:p>
            <w:pPr>
              <w:spacing w:after="20" w:before="20" w:line="240" w:lineRule="auto"/>
              <w:jc w:val="center"/>
            </w:pPr>
            <w:r>
              <w:rPr>
                <w:b w:val="false"/>
                <w:bCs w:val="false"/>
                <w:color w:val="111827"/>
                <w:sz w:val="15"/>
                <w:szCs w:val="15"/>
              </w:rPr>
              <w:t xml:space="preserve">Data availability, contributions, competing interests</w:t>
            </w:r>
          </w:p>
        </w:tc>
        <w:tc>
          <w:tcPr>
            <w:tcW w:type="dxa" w:w="2000"/>
            <w:vAlign w:val="center"/>
          </w:tcPr>
          <w:p>
            <w:pPr>
              <w:spacing w:after="20" w:before="20" w:line="240" w:lineRule="auto"/>
              <w:jc w:val="center"/>
            </w:pPr>
            <w:r>
              <w:rPr>
                <w:b w:val="false"/>
                <w:bCs w:val="false"/>
                <w:color w:val="111827"/>
                <w:sz w:val="15"/>
                <w:szCs w:val="15"/>
              </w:rPr>
              <w:t xml:space="preserve">Contributions, funding, conflicts, data sharing, ethics</w:t>
            </w:r>
          </w:p>
        </w:tc>
      </w:tr>
    </w:tbl>
    <w:p>
      <w:pPr>
        <w:spacing w:after="120" w:before="80" w:line="300" w:lineRule="auto"/>
      </w:pPr>
      <w:r>
        <w:rPr>
          <w:i/>
          <w:iCs/>
          <w:color w:val="5F6B76"/>
          <w:sz w:val="16"/>
          <w:szCs w:val="16"/>
        </w:rPr>
        <w:t xml:space="preserve">Guideline basis: Articlo journal profiles checked against official PLOS ONE and Scientific Reports instructions on July 12, 2026; JAMA preparation uses Articlo's owner-reviewed profile dated July 11, 2026. Instructions can change, and authors must complete the current submission-system fields.</w:t>
      </w:r>
    </w:p>
    <w:p>
      <w:pPr>
        <w:pStyle w:val="Heading1"/>
        <w:keepNext/>
        <w:spacing w:after="100" w:before="240" w:line="260" w:lineRule="auto"/>
      </w:pPr>
      <w:r>
        <w:t xml:space="preserve">Preserved across every version</w:t>
      </w:r>
    </w:p>
    <w:p>
      <w:pPr>
        <w:spacing w:after="120" w:before="0" w:line="300" w:lineRule="auto"/>
      </w:pPr>
      <w:r>
        <w:t xml:space="preserve">The title, fictional authors, 240-team allocation, 236-team analysis set, primary and secondary results, confidence intervals, table values, chart values, interpretations, limitations, ethics disclaimer, and 18 fabricated references are unchanged.</w:t>
      </w:r>
    </w:p>
    <w:p>
      <w:pPr>
        <w:pStyle w:val="Heading1"/>
        <w:keepNext/>
        <w:spacing w:after="100" w:before="240" w:line="260" w:lineRule="auto"/>
      </w:pPr>
      <w:r>
        <w:t xml:space="preserve">Author review still required</w:t>
      </w:r>
    </w:p>
    <w:p>
      <w:pPr>
        <w:spacing w:after="80" w:line="280" w:lineRule="auto"/>
      </w:pPr>
      <w:r>
        <w:rPr>
          <w:b/>
          <w:bCs/>
          <w:color w:val="111827"/>
        </w:rPr>
        <w:t xml:space="preserve">1: </w:t>
      </w:r>
      <w:r>
        <w:t xml:space="preserve">Confirm that the target journal and article type remain correct at the moment of submission.</w:t>
      </w:r>
    </w:p>
    <w:p>
      <w:pPr>
        <w:spacing w:after="80" w:line="280" w:lineRule="auto"/>
      </w:pPr>
      <w:r>
        <w:rPr>
          <w:b/>
          <w:bCs/>
          <w:color w:val="111827"/>
        </w:rPr>
        <w:t xml:space="preserve">2: </w:t>
      </w:r>
      <w:r>
        <w:t xml:space="preserve">Replace every fictional author, affiliation, identifier, reference, approval, result, and declaration before any real use.</w:t>
      </w:r>
    </w:p>
    <w:p>
      <w:pPr>
        <w:spacing w:after="80" w:line="280" w:lineRule="auto"/>
      </w:pPr>
      <w:r>
        <w:rPr>
          <w:b/>
          <w:bCs/>
          <w:color w:val="111827"/>
        </w:rPr>
        <w:t xml:space="preserve">3: </w:t>
      </w:r>
      <w:r>
        <w:t xml:space="preserve">Verify scientific claims, reporting guidance, authorship, permissions, figure resolution, data sharing, and submission-system metadata.</w:t>
      </w:r>
    </w:p>
    <w:p>
      <w:pPr>
        <w:spacing w:after="80" w:line="280" w:lineRule="auto"/>
      </w:pPr>
      <w:r>
        <w:rPr>
          <w:b/>
          <w:bCs/>
          <w:color w:val="111827"/>
        </w:rPr>
        <w:t xml:space="preserve">4: </w:t>
      </w:r>
      <w:r>
        <w:t xml:space="preserve">Review every deterministic formatting change; Articlo does not peer review, fact-check, submit, or guarantee acceptance.</w:t>
      </w:r>
    </w:p>
    <w:p>
      <w:pPr>
        <w:pStyle w:val="Heading1"/>
        <w:keepNext/>
        <w:spacing w:after="100" w:before="240" w:line="260" w:lineRule="auto"/>
      </w:pPr>
      <w:r>
        <w:t xml:space="preserve">Package inventory</w:t>
      </w:r>
    </w:p>
    <w:p>
      <w:pPr>
        <w:spacing w:after="120" w:before="0" w:line="300" w:lineRule="auto"/>
      </w:pPr>
      <w:r>
        <w:t xml:space="preserve">01-original-draft.docx; 02-plos-one-formatted.docx; 03-scientific-reports-formatted.docx; 04-jama-formatted.docx; this preparation report; three separate PNG figure files; synthetic aggregate chart data; and README.txt.</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before="40"/>
      <w:jc w:val="center"/>
    </w:pPr>
    <w:r>
      <w:rPr>
        <w:color w:val="5F6B76"/>
        <w:sz w:val="16"/>
        <w:szCs w:val="16"/>
      </w:rPr>
      <w:t xml:space="preserve">Fictional Articlo sample  |  Page </w:t>
    </w:r>
    <w:r>
      <w:rPr>
        <w:color w:val="5F6B7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before="0" w:line="220" w:lineRule="auto"/>
      <w:jc w:val="right"/>
    </w:pPr>
    <w:r>
      <w:rPr>
        <w:color w:val="5F6B76"/>
        <w:sz w:val="16"/>
        <w:szCs w:val="16"/>
      </w:rPr>
      <w:t xml:space="preserve">Articlo | Preparation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11827"/>
        <w:sz w:val="20"/>
        <w:szCs w:val="20"/>
      </w:rPr>
    </w:rPrDefault>
    <w:pPrDefault>
      <w:pPr>
        <w:spacing w:after="120" w:line="280" w:lineRule="auto"/>
      </w:pPr>
    </w:pPrDefault>
  </w:docDefaults>
  <w:style w:type="paragraph" w:styleId="Title">
    <w:name w:val="Title"/>
    <w:basedOn w:val="Normal"/>
    <w:next w:val="Normal"/>
    <w:qFormat/>
    <w:pPr>
      <w:spacing w:after="180" w:line="300" w:lineRule="auto"/>
      <w:jc w:val="center"/>
    </w:pPr>
    <w:rPr>
      <w:rFonts w:ascii="Arial" w:cs="Arial" w:eastAsia="Arial" w:hAnsi="Arial"/>
      <w:b/>
      <w:bCs/>
      <w:color w:val="111827"/>
      <w:sz w:val="32"/>
      <w:szCs w:val="32"/>
    </w:rPr>
  </w:style>
  <w:style w:type="paragraph" w:styleId="Heading1">
    <w:name w:val="Heading 1"/>
    <w:basedOn w:val="Normal"/>
    <w:next w:val="Normal"/>
    <w:qFormat/>
    <w:pPr>
      <w:keepNext/>
      <w:spacing w:after="120" w:before="280" w:line="280" w:lineRule="auto"/>
    </w:pPr>
    <w:rPr>
      <w:rFonts w:ascii="Arial" w:cs="Arial" w:eastAsia="Arial" w:hAnsi="Arial"/>
      <w:b/>
      <w:bCs/>
      <w:color w:val="173F5F"/>
      <w:sz w:val="25"/>
      <w:szCs w:val="25"/>
    </w:rPr>
  </w:style>
  <w:style w:type="paragraph" w:styleId="Heading2">
    <w:name w:val="Heading 2"/>
    <w:basedOn w:val="Normal"/>
    <w:next w:val="Normal"/>
    <w:qFormat/>
    <w:pPr>
      <w:keepNext/>
      <w:spacing w:after="90" w:before="200" w:line="260" w:lineRule="auto"/>
    </w:pPr>
    <w:rPr>
      <w:rFonts w:ascii="Arial" w:cs="Arial" w:eastAsia="Arial" w:hAnsi="Arial"/>
      <w:b/>
      <w:bCs/>
      <w:color w:val="173F5F"/>
      <w:sz w:val="21"/>
      <w:szCs w:val="21"/>
    </w:rPr>
  </w:style>
  <w:style w:type="paragraph" w:styleId="Heading3">
    <w:name w:val="Heading 3"/>
    <w:basedOn w:val="Normal"/>
    <w:next w:val="Normal"/>
    <w:qFormat/>
    <w:pPr>
      <w:keepNext/>
      <w:spacing w:after="80" w:before="160" w:line="250" w:lineRule="auto"/>
    </w:pPr>
    <w:rPr>
      <w:rFonts w:ascii="Arial" w:cs="Arial" w:eastAsia="Arial" w:hAnsi="Arial"/>
      <w:b/>
      <w:bCs/>
      <w:i/>
      <w:iCs/>
      <w:color w:val="173F5F"/>
      <w:sz w:val="19"/>
      <w:szCs w:val="19"/>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Articlo sample preparation report</dc:title>
  <dc:creator>Articlo</dc:creator>
  <dc:description>FICTIONAL DEMONSTRATION — No real participants, institutions, data, registrations, identifiers, or references.</dc:description>
  <cp:lastModifiedBy>Un-named</cp:lastModifiedBy>
  <cp:revision>1</cp:revision>
  <dcterms:created xsi:type="dcterms:W3CDTF">2026-07-12T17:24:29.260Z</dcterms:created>
  <dcterms:modified xsi:type="dcterms:W3CDTF">2026-07-12T17:24:29.260Z</dcterms:modified>
</cp:coreProperties>
</file>

<file path=docProps/custom.xml><?xml version="1.0" encoding="utf-8"?>
<Properties xmlns="http://schemas.openxmlformats.org/officeDocument/2006/custom-properties" xmlns:vt="http://schemas.openxmlformats.org/officeDocument/2006/docPropsVTypes"/>
</file>